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DF4A" w14:textId="21CC0117" w:rsidR="00DB2106" w:rsidRPr="0091373D" w:rsidRDefault="008C7E18" w:rsidP="002F29DD">
      <w:pPr>
        <w:pStyle w:val="Heading1"/>
        <w:rPr>
          <w:rFonts w:ascii="Arial" w:hAnsi="Arial" w:cs="Arial"/>
          <w:b/>
          <w:bCs/>
          <w:color w:val="auto"/>
        </w:rPr>
      </w:pPr>
      <w:r w:rsidRPr="0091373D">
        <w:rPr>
          <w:rFonts w:ascii="Arial" w:hAnsi="Arial" w:cs="Arial"/>
          <w:b/>
          <w:bCs/>
          <w:color w:val="auto"/>
        </w:rPr>
        <w:t>Research-Informed Teaching case study:</w:t>
      </w:r>
      <w:r w:rsidRPr="0091373D">
        <w:rPr>
          <w:rFonts w:ascii="Arial" w:hAnsi="Arial" w:cs="Arial"/>
          <w:b/>
          <w:bCs/>
          <w:color w:val="auto"/>
        </w:rPr>
        <w:br/>
      </w:r>
      <w:r w:rsidR="00A433BD" w:rsidRPr="0091373D">
        <w:rPr>
          <w:rFonts w:ascii="Arial" w:hAnsi="Arial" w:cs="Arial"/>
          <w:b/>
          <w:bCs/>
          <w:color w:val="auto"/>
        </w:rPr>
        <w:t xml:space="preserve">HR Employability – The development of employability skills, networking opportunities and </w:t>
      </w:r>
      <w:r w:rsidR="0033190C" w:rsidRPr="0091373D">
        <w:rPr>
          <w:rFonts w:ascii="Arial" w:hAnsi="Arial" w:cs="Arial"/>
          <w:b/>
          <w:bCs/>
          <w:color w:val="auto"/>
        </w:rPr>
        <w:t>job opportunities for H</w:t>
      </w:r>
      <w:r w:rsidR="008909CD" w:rsidRPr="0091373D">
        <w:rPr>
          <w:rFonts w:ascii="Arial" w:hAnsi="Arial" w:cs="Arial"/>
          <w:b/>
          <w:bCs/>
          <w:color w:val="auto"/>
        </w:rPr>
        <w:t xml:space="preserve">uman </w:t>
      </w:r>
      <w:r w:rsidR="0033190C" w:rsidRPr="0091373D">
        <w:rPr>
          <w:rFonts w:ascii="Arial" w:hAnsi="Arial" w:cs="Arial"/>
          <w:b/>
          <w:bCs/>
          <w:color w:val="auto"/>
        </w:rPr>
        <w:t>R</w:t>
      </w:r>
      <w:r w:rsidR="008909CD" w:rsidRPr="0091373D">
        <w:rPr>
          <w:rFonts w:ascii="Arial" w:hAnsi="Arial" w:cs="Arial"/>
          <w:b/>
          <w:bCs/>
          <w:color w:val="auto"/>
        </w:rPr>
        <w:t>esource</w:t>
      </w:r>
      <w:r w:rsidR="0033190C" w:rsidRPr="0091373D">
        <w:rPr>
          <w:rFonts w:ascii="Arial" w:hAnsi="Arial" w:cs="Arial"/>
          <w:b/>
          <w:bCs/>
          <w:color w:val="auto"/>
        </w:rPr>
        <w:t xml:space="preserve"> undergraduates and graduates</w:t>
      </w:r>
      <w:r w:rsidR="009B05A2" w:rsidRPr="0091373D">
        <w:rPr>
          <w:rFonts w:ascii="Arial" w:hAnsi="Arial" w:cs="Arial"/>
          <w:b/>
          <w:bCs/>
          <w:color w:val="auto"/>
        </w:rPr>
        <w:t>.</w:t>
      </w:r>
    </w:p>
    <w:p w14:paraId="1392389D" w14:textId="48697CD3" w:rsidR="00773E80" w:rsidRPr="00FC74AA" w:rsidRDefault="00FC74AA" w:rsidP="00FC74AA">
      <w:r>
        <w:br/>
      </w:r>
      <w:r w:rsidR="00CF45E6">
        <w:t xml:space="preserve">Dr </w:t>
      </w:r>
      <w:r w:rsidR="00716AC5">
        <w:t>Patricia Joliffe</w:t>
      </w:r>
    </w:p>
    <w:p w14:paraId="23B06F4F" w14:textId="4238C7C3" w:rsidR="00F6268A" w:rsidRPr="00F675C7" w:rsidRDefault="009534F7" w:rsidP="009B05A2">
      <w:pPr>
        <w:spacing w:line="276" w:lineRule="auto"/>
        <w:rPr>
          <w:color w:val="333333"/>
          <w:sz w:val="22"/>
          <w:shd w:val="clear" w:color="auto" w:fill="FFFFFF"/>
        </w:rPr>
      </w:pPr>
      <w:r w:rsidRPr="00F675C7">
        <w:rPr>
          <w:sz w:val="22"/>
        </w:rPr>
        <w:t>O</w:t>
      </w:r>
      <w:r w:rsidR="00A43660" w:rsidRPr="00F675C7">
        <w:rPr>
          <w:sz w:val="22"/>
        </w:rPr>
        <w:t xml:space="preserve">ffice for Students </w:t>
      </w:r>
      <w:r w:rsidR="003869E5">
        <w:rPr>
          <w:sz w:val="22"/>
        </w:rPr>
        <w:fldChar w:fldCharType="begin"/>
      </w:r>
      <w:r w:rsidR="003869E5">
        <w:rPr>
          <w:sz w:val="22"/>
        </w:rPr>
        <w:instrText xml:space="preserve"> ADDIN EN.CITE &lt;EndNote&gt;&lt;Cite&gt;&lt;Author&gt;Office for Students&lt;/Author&gt;&lt;Year&gt;2021&lt;/Year&gt;&lt;RecNum&gt;1872&lt;/RecNum&gt;&lt;DisplayText&gt;(Office for Students, 2021)&lt;/DisplayText&gt;&lt;record&gt;&lt;rec-number&gt;1872&lt;/rec-number&gt;&lt;foreign-keys&gt;&lt;key app="EN" db-id="patrv0asqra2t5e5v0rx2dvy9f05vdd22sss" timestamp="1717922787"&gt;1872&lt;/key&gt;&lt;/foreign-keys&gt;&lt;ref-type name="Web Page"&gt;12&lt;/ref-type&gt;&lt;contributors&gt;&lt;authors&gt;&lt;author&gt;Office for Students,&lt;/author&gt;&lt;/authors&gt;&lt;/contributors&gt;&lt;titles&gt;&lt;title&gt;New measures shows substantial differences in likely job and study outcomes for students&lt;/title&gt;&lt;/titles&gt;&lt;volume&gt;2024&lt;/volume&gt;&lt;number&gt;8 June 2024&lt;/number&gt;&lt;dates&gt;&lt;year&gt;2021&lt;/year&gt;&lt;/dates&gt;&lt;urls&gt;&lt;related-urls&gt;&lt;url&gt;https://www.officeforstudents.org.uk/news-blog-and-events/press-and-media/new-measure-shows-substantial-differences-in-likely-job-and-study-outcomes-for-students/&lt;/url&gt;&lt;/related-urls&gt;&lt;/urls&gt;&lt;custom1&gt;2021&lt;/custom1&gt;&lt;custom2&gt;19 May 2021&lt;/custom2&gt;&lt;/record&gt;&lt;/Cite&gt;&lt;/EndNote&gt;</w:instrText>
      </w:r>
      <w:r w:rsidR="003869E5">
        <w:rPr>
          <w:sz w:val="22"/>
        </w:rPr>
        <w:fldChar w:fldCharType="separate"/>
      </w:r>
      <w:r w:rsidR="003869E5">
        <w:rPr>
          <w:noProof/>
          <w:sz w:val="22"/>
        </w:rPr>
        <w:t>(Office for Students, 2021)</w:t>
      </w:r>
      <w:r w:rsidR="003869E5">
        <w:rPr>
          <w:sz w:val="22"/>
        </w:rPr>
        <w:fldChar w:fldCharType="end"/>
      </w:r>
      <w:r w:rsidR="003869E5">
        <w:rPr>
          <w:sz w:val="22"/>
        </w:rPr>
        <w:t xml:space="preserve"> </w:t>
      </w:r>
      <w:r w:rsidR="008716EA" w:rsidRPr="00F675C7">
        <w:rPr>
          <w:sz w:val="22"/>
        </w:rPr>
        <w:t xml:space="preserve">research shows significant </w:t>
      </w:r>
      <w:r w:rsidR="00A43660" w:rsidRPr="00F675C7">
        <w:rPr>
          <w:sz w:val="22"/>
        </w:rPr>
        <w:t>performance differences between</w:t>
      </w:r>
      <w:r w:rsidR="008716EA" w:rsidRPr="00F675C7">
        <w:rPr>
          <w:sz w:val="22"/>
        </w:rPr>
        <w:t xml:space="preserve"> universities </w:t>
      </w:r>
      <w:r w:rsidR="00C21D0F" w:rsidRPr="00F675C7">
        <w:rPr>
          <w:sz w:val="22"/>
        </w:rPr>
        <w:t xml:space="preserve">in </w:t>
      </w:r>
      <w:r w:rsidR="00A43660" w:rsidRPr="00F675C7">
        <w:rPr>
          <w:sz w:val="22"/>
        </w:rPr>
        <w:t xml:space="preserve">terms of </w:t>
      </w:r>
      <w:r w:rsidR="00C21D0F" w:rsidRPr="00F675C7">
        <w:rPr>
          <w:sz w:val="22"/>
        </w:rPr>
        <w:t xml:space="preserve">students securing professional employment or further study shortly after graduation. </w:t>
      </w:r>
      <w:r w:rsidR="00250983" w:rsidRPr="00F675C7">
        <w:rPr>
          <w:color w:val="333333"/>
          <w:sz w:val="22"/>
          <w:shd w:val="clear" w:color="auto" w:fill="FFFFFF"/>
        </w:rPr>
        <w:t>At 25 universities and other education providers, less than half of students who begin a degree can expect to finish that degree and find professional employment or further study within 15 months of graduation</w:t>
      </w:r>
      <w:r w:rsidR="0047186D" w:rsidRPr="00F675C7">
        <w:rPr>
          <w:color w:val="333333"/>
          <w:sz w:val="22"/>
          <w:shd w:val="clear" w:color="auto" w:fill="FFFFFF"/>
        </w:rPr>
        <w:t>, the time that the data is captured</w:t>
      </w:r>
      <w:r w:rsidR="00250983" w:rsidRPr="00F675C7">
        <w:rPr>
          <w:color w:val="333333"/>
          <w:sz w:val="22"/>
          <w:shd w:val="clear" w:color="auto" w:fill="FFFFFF"/>
        </w:rPr>
        <w:t>. O</w:t>
      </w:r>
      <w:r w:rsidR="003869E5">
        <w:rPr>
          <w:color w:val="333333"/>
          <w:sz w:val="22"/>
          <w:shd w:val="clear" w:color="auto" w:fill="FFFFFF"/>
        </w:rPr>
        <w:t xml:space="preserve">ffice for Students </w:t>
      </w:r>
      <w:r w:rsidR="003869E5">
        <w:rPr>
          <w:color w:val="333333"/>
          <w:sz w:val="22"/>
          <w:shd w:val="clear" w:color="auto" w:fill="FFFFFF"/>
        </w:rPr>
        <w:fldChar w:fldCharType="begin"/>
      </w:r>
      <w:r w:rsidR="003869E5">
        <w:rPr>
          <w:color w:val="333333"/>
          <w:sz w:val="22"/>
          <w:shd w:val="clear" w:color="auto" w:fill="FFFFFF"/>
        </w:rPr>
        <w:instrText xml:space="preserve"> ADDIN EN.CITE &lt;EndNote&gt;&lt;Cite&gt;&lt;Author&gt;Office for Students&lt;/Author&gt;&lt;Year&gt;2021&lt;/Year&gt;&lt;RecNum&gt;1872&lt;/RecNum&gt;&lt;DisplayText&gt;(Office for Students, 2021)&lt;/DisplayText&gt;&lt;record&gt;&lt;rec-number&gt;1872&lt;/rec-number&gt;&lt;foreign-keys&gt;&lt;key app="EN" db-id="patrv0asqra2t5e5v0rx2dvy9f05vdd22sss" timestamp="1717922787"&gt;1872&lt;/key&gt;&lt;/foreign-keys&gt;&lt;ref-type name="Web Page"&gt;12&lt;/ref-type&gt;&lt;contributors&gt;&lt;authors&gt;&lt;author&gt;Office for Students,&lt;/author&gt;&lt;/authors&gt;&lt;/contributors&gt;&lt;titles&gt;&lt;title&gt;New measures shows substantial differences in likely job and study outcomes for students&lt;/title&gt;&lt;/titles&gt;&lt;volume&gt;2024&lt;/volume&gt;&lt;number&gt;8 June 2024&lt;/number&gt;&lt;dates&gt;&lt;year&gt;2021&lt;/year&gt;&lt;/dates&gt;&lt;urls&gt;&lt;related-urls&gt;&lt;url&gt;https://www.officeforstudents.org.uk/news-blog-and-events/press-and-media/new-measure-shows-substantial-differences-in-likely-job-and-study-outcomes-for-students/&lt;/url&gt;&lt;/related-urls&gt;&lt;/urls&gt;&lt;custom1&gt;2021&lt;/custom1&gt;&lt;custom2&gt;19 May 2021&lt;/custom2&gt;&lt;/record&gt;&lt;/Cite&gt;&lt;/EndNote&gt;</w:instrText>
      </w:r>
      <w:r w:rsidR="003869E5">
        <w:rPr>
          <w:color w:val="333333"/>
          <w:sz w:val="22"/>
          <w:shd w:val="clear" w:color="auto" w:fill="FFFFFF"/>
        </w:rPr>
        <w:fldChar w:fldCharType="separate"/>
      </w:r>
      <w:r w:rsidR="003869E5">
        <w:rPr>
          <w:noProof/>
          <w:color w:val="333333"/>
          <w:sz w:val="22"/>
          <w:shd w:val="clear" w:color="auto" w:fill="FFFFFF"/>
        </w:rPr>
        <w:t>(Office for Students, 2021)</w:t>
      </w:r>
      <w:r w:rsidR="003869E5">
        <w:rPr>
          <w:color w:val="333333"/>
          <w:sz w:val="22"/>
          <w:shd w:val="clear" w:color="auto" w:fill="FFFFFF"/>
        </w:rPr>
        <w:fldChar w:fldCharType="end"/>
      </w:r>
      <w:r w:rsidR="00250983" w:rsidRPr="00F675C7">
        <w:rPr>
          <w:color w:val="333333"/>
          <w:sz w:val="22"/>
          <w:shd w:val="clear" w:color="auto" w:fill="FFFFFF"/>
        </w:rPr>
        <w:t xml:space="preserve"> </w:t>
      </w:r>
      <w:r w:rsidR="00A43660" w:rsidRPr="00F675C7">
        <w:rPr>
          <w:color w:val="333333"/>
          <w:sz w:val="22"/>
          <w:shd w:val="clear" w:color="auto" w:fill="FFFFFF"/>
        </w:rPr>
        <w:t>states,</w:t>
      </w:r>
      <w:r w:rsidR="00250983" w:rsidRPr="00F675C7">
        <w:rPr>
          <w:color w:val="333333"/>
          <w:sz w:val="22"/>
          <w:shd w:val="clear" w:color="auto" w:fill="FFFFFF"/>
        </w:rPr>
        <w:t xml:space="preserve"> ‘</w:t>
      </w:r>
      <w:r w:rsidR="00F6268A" w:rsidRPr="00F675C7">
        <w:rPr>
          <w:color w:val="333333"/>
          <w:sz w:val="22"/>
          <w:shd w:val="clear" w:color="auto" w:fill="FFFFFF"/>
        </w:rPr>
        <w:t xml:space="preserve">It is important that prospective students have access to good independent information about courses they may be interested in’. </w:t>
      </w:r>
      <w:r w:rsidR="00D74AFA" w:rsidRPr="00F675C7">
        <w:rPr>
          <w:color w:val="333333"/>
          <w:sz w:val="22"/>
          <w:shd w:val="clear" w:color="auto" w:fill="FFFFFF"/>
        </w:rPr>
        <w:t>Whilst 72.7% of our HR undergraduate students (2019/20) achieved high-skill employment captured via the Graduate Outcomes Survey (GOS)</w:t>
      </w:r>
      <w:r w:rsidR="00292AA4" w:rsidRPr="00F675C7">
        <w:rPr>
          <w:color w:val="333333"/>
          <w:sz w:val="22"/>
          <w:shd w:val="clear" w:color="auto" w:fill="FFFFFF"/>
        </w:rPr>
        <w:t xml:space="preserve">, is positive, employability must maintain a priority. </w:t>
      </w:r>
    </w:p>
    <w:p w14:paraId="1A699D66" w14:textId="5F8C005A" w:rsidR="00E25C1C" w:rsidRPr="00C71BF3" w:rsidRDefault="00B612A8" w:rsidP="009B05A2">
      <w:pPr>
        <w:spacing w:line="276" w:lineRule="auto"/>
        <w:rPr>
          <w:color w:val="333333"/>
          <w:sz w:val="22"/>
          <w:shd w:val="clear" w:color="auto" w:fill="FFFFFF"/>
        </w:rPr>
      </w:pPr>
      <w:r>
        <w:rPr>
          <w:color w:val="333333"/>
          <w:sz w:val="22"/>
          <w:shd w:val="clear" w:color="auto" w:fill="FFFFFF"/>
        </w:rPr>
        <w:t>Furthermore, the advent of Generative AI in 2023</w:t>
      </w:r>
      <w:r w:rsidR="0036098B">
        <w:rPr>
          <w:color w:val="333333"/>
          <w:sz w:val="22"/>
          <w:shd w:val="clear" w:color="auto" w:fill="FFFFFF"/>
        </w:rPr>
        <w:t xml:space="preserve"> </w:t>
      </w:r>
      <w:r>
        <w:rPr>
          <w:color w:val="333333"/>
          <w:sz w:val="22"/>
          <w:shd w:val="clear" w:color="auto" w:fill="FFFFFF"/>
        </w:rPr>
        <w:t xml:space="preserve"> has not just altered recruitment and selection processes</w:t>
      </w:r>
      <w:r w:rsidR="00393F25">
        <w:rPr>
          <w:color w:val="333333"/>
          <w:sz w:val="22"/>
          <w:shd w:val="clear" w:color="auto" w:fill="FFFFFF"/>
        </w:rPr>
        <w:t xml:space="preserve"> </w:t>
      </w:r>
      <w:r w:rsidR="00393F25">
        <w:rPr>
          <w:color w:val="333333"/>
          <w:sz w:val="22"/>
          <w:shd w:val="clear" w:color="auto" w:fill="FFFFFF"/>
        </w:rPr>
        <w:fldChar w:fldCharType="begin"/>
      </w:r>
      <w:r w:rsidR="00393F25">
        <w:rPr>
          <w:color w:val="333333"/>
          <w:sz w:val="22"/>
          <w:shd w:val="clear" w:color="auto" w:fill="FFFFFF"/>
        </w:rPr>
        <w:instrText xml:space="preserve"> ADDIN EN.CITE &lt;EndNote&gt;&lt;Cite&gt;&lt;Author&gt;Thakur&lt;/Author&gt;&lt;Year&gt;2023&lt;/Year&gt;&lt;RecNum&gt;1829&lt;/RecNum&gt;&lt;DisplayText&gt;(Thakur, Hinge, &amp;amp; Adhegaonkar, 2023)&lt;/DisplayText&gt;&lt;record&gt;&lt;rec-number&gt;1829&lt;/rec-number&gt;&lt;foreign-keys&gt;&lt;key app="EN" db-id="patrv0asqra2t5e5v0rx2dvy9f05vdd22sss" timestamp="1699907763"&gt;1829&lt;/key&gt;&lt;/foreign-keys&gt;&lt;ref-type name="Conference Proceedings"&gt;10&lt;/ref-type&gt;&lt;contributors&gt;&lt;authors&gt;&lt;author&gt;Thakur, A&lt;/author&gt;&lt;author&gt;Hinge, P&lt;/author&gt;&lt;author&gt;Adhegaonkar, V&lt;/author&gt;&lt;/authors&gt;&lt;/contributors&gt;&lt;titles&gt;&lt;title&gt;Use of Artificial Intelligence (AI) in Recruitment and Selection&lt;/title&gt;&lt;secondary-title&gt;ICAMIDA&lt;/secondary-title&gt;&lt;/titles&gt;&lt;dates&gt;&lt;year&gt;2023&lt;/year&gt;&lt;/dates&gt;&lt;urls&gt;&lt;/urls&gt;&lt;electronic-resource-num&gt;http://dx.doi.org/10.2139/ssrn.4452924&lt;/electronic-resource-num&gt;&lt;/record&gt;&lt;/Cite&gt;&lt;/EndNote&gt;</w:instrText>
      </w:r>
      <w:r w:rsidR="00393F25">
        <w:rPr>
          <w:color w:val="333333"/>
          <w:sz w:val="22"/>
          <w:shd w:val="clear" w:color="auto" w:fill="FFFFFF"/>
        </w:rPr>
        <w:fldChar w:fldCharType="separate"/>
      </w:r>
      <w:r w:rsidR="00393F25">
        <w:rPr>
          <w:noProof/>
          <w:color w:val="333333"/>
          <w:sz w:val="22"/>
          <w:shd w:val="clear" w:color="auto" w:fill="FFFFFF"/>
        </w:rPr>
        <w:t>(Thakur, Hinge, &amp; Adhegaonkar, 2023)</w:t>
      </w:r>
      <w:r w:rsidR="00393F25">
        <w:rPr>
          <w:color w:val="333333"/>
          <w:sz w:val="22"/>
          <w:shd w:val="clear" w:color="auto" w:fill="FFFFFF"/>
        </w:rPr>
        <w:fldChar w:fldCharType="end"/>
      </w:r>
      <w:r>
        <w:rPr>
          <w:color w:val="333333"/>
          <w:sz w:val="22"/>
          <w:shd w:val="clear" w:color="auto" w:fill="FFFFFF"/>
        </w:rPr>
        <w:t xml:space="preserve"> but also directly impacted the student population in this case study. </w:t>
      </w:r>
      <w:r w:rsidR="00C71BF3">
        <w:rPr>
          <w:color w:val="333333"/>
          <w:sz w:val="22"/>
          <w:shd w:val="clear" w:color="auto" w:fill="FFFFFF"/>
        </w:rPr>
        <w:t>They must remain</w:t>
      </w:r>
      <w:r>
        <w:rPr>
          <w:color w:val="333333"/>
          <w:sz w:val="22"/>
          <w:shd w:val="clear" w:color="auto" w:fill="FFFFFF"/>
        </w:rPr>
        <w:t xml:space="preserve"> abreast and adjust to these changes, as they are both initiators and participants</w:t>
      </w:r>
      <w:r w:rsidR="00C71BF3">
        <w:rPr>
          <w:color w:val="333333"/>
          <w:sz w:val="22"/>
          <w:shd w:val="clear" w:color="auto" w:fill="FFFFFF"/>
        </w:rPr>
        <w:t xml:space="preserve"> </w:t>
      </w:r>
      <w:r w:rsidR="007E3A24">
        <w:rPr>
          <w:color w:val="333333"/>
          <w:sz w:val="22"/>
          <w:shd w:val="clear" w:color="auto" w:fill="FFFFFF"/>
        </w:rPr>
        <w:t>in the process</w:t>
      </w:r>
      <w:r w:rsidR="00BA5F6E" w:rsidRPr="00F675C7">
        <w:rPr>
          <w:color w:val="333333"/>
          <w:sz w:val="22"/>
          <w:shd w:val="clear" w:color="auto" w:fill="FFFFFF"/>
        </w:rPr>
        <w:t xml:space="preserve">. </w:t>
      </w:r>
      <w:r w:rsidR="00BA5F6E" w:rsidRPr="00F675C7" w:rsidDel="00BA5F6E">
        <w:rPr>
          <w:color w:val="333333"/>
          <w:sz w:val="22"/>
          <w:shd w:val="clear" w:color="auto" w:fill="FFFFFF"/>
        </w:rPr>
        <w:t xml:space="preserve"> </w:t>
      </w:r>
    </w:p>
    <w:p w14:paraId="41A288C6" w14:textId="77777777" w:rsidR="00E25C1C" w:rsidRPr="00F675C7" w:rsidRDefault="00E25C1C" w:rsidP="009B05A2">
      <w:pPr>
        <w:spacing w:line="276" w:lineRule="auto"/>
        <w:rPr>
          <w:sz w:val="22"/>
        </w:rPr>
      </w:pPr>
    </w:p>
    <w:p w14:paraId="7868B775" w14:textId="09843C3D" w:rsidR="00E25C1C" w:rsidRPr="00F675C7" w:rsidRDefault="00E25C1C" w:rsidP="009B05A2">
      <w:pPr>
        <w:spacing w:line="276" w:lineRule="auto"/>
        <w:rPr>
          <w:b/>
          <w:bCs/>
          <w:sz w:val="22"/>
        </w:rPr>
      </w:pPr>
      <w:r w:rsidRPr="00F675C7">
        <w:rPr>
          <w:b/>
          <w:bCs/>
          <w:sz w:val="22"/>
        </w:rPr>
        <w:t xml:space="preserve">Specific Project Work </w:t>
      </w:r>
    </w:p>
    <w:p w14:paraId="3F100DD2" w14:textId="27941EED" w:rsidR="00FD6456" w:rsidRPr="00F675C7" w:rsidRDefault="00FD6456" w:rsidP="009B05A2">
      <w:pPr>
        <w:spacing w:line="276" w:lineRule="auto"/>
        <w:rPr>
          <w:rStyle w:val="normaltextrun1"/>
          <w:b/>
          <w:bCs/>
          <w:i/>
          <w:iCs/>
          <w:sz w:val="22"/>
          <w:lang w:val="en-US"/>
        </w:rPr>
      </w:pPr>
      <w:r w:rsidRPr="00F675C7">
        <w:rPr>
          <w:rStyle w:val="normaltextrun1"/>
          <w:bCs/>
          <w:sz w:val="22"/>
          <w:lang w:val="en-US"/>
        </w:rPr>
        <w:t xml:space="preserve">As </w:t>
      </w:r>
      <w:r w:rsidR="00A43660" w:rsidRPr="00F675C7">
        <w:rPr>
          <w:rStyle w:val="normaltextrun1"/>
          <w:bCs/>
          <w:sz w:val="22"/>
          <w:lang w:val="en-US"/>
        </w:rPr>
        <w:t xml:space="preserve">a Human </w:t>
      </w:r>
      <w:r w:rsidR="009B05A2">
        <w:rPr>
          <w:rStyle w:val="normaltextrun1"/>
          <w:bCs/>
          <w:sz w:val="22"/>
          <w:lang w:val="en-US"/>
        </w:rPr>
        <w:t>Re</w:t>
      </w:r>
      <w:r w:rsidR="00A43660" w:rsidRPr="00F675C7">
        <w:rPr>
          <w:rStyle w:val="normaltextrun1"/>
          <w:bCs/>
          <w:sz w:val="22"/>
          <w:lang w:val="en-US"/>
        </w:rPr>
        <w:t>source</w:t>
      </w:r>
      <w:r w:rsidR="009B05A2">
        <w:rPr>
          <w:rStyle w:val="normaltextrun1"/>
          <w:bCs/>
          <w:sz w:val="22"/>
          <w:lang w:val="en-US"/>
        </w:rPr>
        <w:t>s</w:t>
      </w:r>
      <w:r w:rsidR="00A43660" w:rsidRPr="00F675C7">
        <w:rPr>
          <w:rStyle w:val="normaltextrun1"/>
          <w:bCs/>
          <w:sz w:val="22"/>
          <w:lang w:val="en-US"/>
        </w:rPr>
        <w:t xml:space="preserve"> (HR) professional with a PhD who</w:t>
      </w:r>
      <w:r w:rsidRPr="00F675C7">
        <w:rPr>
          <w:rStyle w:val="normaltextrun1"/>
          <w:bCs/>
          <w:sz w:val="22"/>
          <w:lang w:val="en-US"/>
        </w:rPr>
        <w:t xml:space="preserve"> explore</w:t>
      </w:r>
      <w:r w:rsidR="00FF01BD">
        <w:rPr>
          <w:rStyle w:val="normaltextrun1"/>
          <w:bCs/>
          <w:sz w:val="22"/>
          <w:lang w:val="en-US"/>
        </w:rPr>
        <w:t>s</w:t>
      </w:r>
      <w:r w:rsidRPr="00F675C7">
        <w:rPr>
          <w:rStyle w:val="normaltextrun1"/>
          <w:bCs/>
          <w:sz w:val="22"/>
          <w:lang w:val="en-US"/>
        </w:rPr>
        <w:t xml:space="preserve"> professional development, I value supporting students </w:t>
      </w:r>
      <w:r w:rsidR="00A43660" w:rsidRPr="00F675C7">
        <w:rPr>
          <w:rStyle w:val="normaltextrun1"/>
          <w:bCs/>
          <w:sz w:val="22"/>
          <w:lang w:val="en-US"/>
        </w:rPr>
        <w:t>in becoming</w:t>
      </w:r>
      <w:r w:rsidRPr="00F675C7">
        <w:rPr>
          <w:rStyle w:val="normaltextrun1"/>
          <w:bCs/>
          <w:sz w:val="22"/>
          <w:lang w:val="en-US"/>
        </w:rPr>
        <w:t xml:space="preserve"> leading HR professionals. </w:t>
      </w:r>
      <w:r w:rsidRPr="00F675C7">
        <w:rPr>
          <w:rStyle w:val="normaltextrun1"/>
          <w:sz w:val="22"/>
          <w:lang w:val="en-US"/>
        </w:rPr>
        <w:t>In 2015</w:t>
      </w:r>
      <w:r w:rsidR="00A43660" w:rsidRPr="00F675C7">
        <w:rPr>
          <w:rStyle w:val="normaltextrun1"/>
          <w:sz w:val="22"/>
          <w:lang w:val="en-US"/>
        </w:rPr>
        <w:t>, I developed the Professional Student Network Group (PSNG), a unique, student- and academic-led partnership approach to professional development that uses social media</w:t>
      </w:r>
      <w:r w:rsidRPr="00F675C7">
        <w:rPr>
          <w:rStyle w:val="normaltextrun1"/>
          <w:sz w:val="22"/>
          <w:lang w:val="en-US"/>
        </w:rPr>
        <w:t xml:space="preserve">. </w:t>
      </w:r>
      <w:r w:rsidR="00C71BF3">
        <w:rPr>
          <w:rStyle w:val="normaltextrun1"/>
          <w:sz w:val="22"/>
          <w:lang w:val="en-US"/>
        </w:rPr>
        <w:t xml:space="preserve">Unlike any other in the field, this innovative approach </w:t>
      </w:r>
      <w:r w:rsidR="007A77D5">
        <w:rPr>
          <w:rStyle w:val="normaltextrun1"/>
          <w:sz w:val="22"/>
          <w:lang w:val="en-US"/>
        </w:rPr>
        <w:t xml:space="preserve">has proven to be highly effective. </w:t>
      </w:r>
      <w:r w:rsidRPr="00F675C7">
        <w:rPr>
          <w:rStyle w:val="normaltextrun1"/>
          <w:sz w:val="22"/>
          <w:lang w:val="en-US"/>
        </w:rPr>
        <w:t xml:space="preserve">Every September, I </w:t>
      </w:r>
      <w:r w:rsidR="00BA5F6E" w:rsidRPr="00F675C7">
        <w:rPr>
          <w:rStyle w:val="normaltextrun1"/>
          <w:sz w:val="22"/>
          <w:lang w:val="en-US"/>
        </w:rPr>
        <w:t>recruit 13-17</w:t>
      </w:r>
      <w:r w:rsidRPr="00F675C7">
        <w:rPr>
          <w:rStyle w:val="normaltextrun1"/>
          <w:sz w:val="22"/>
          <w:lang w:val="en-US"/>
        </w:rPr>
        <w:t xml:space="preserve"> volunteer </w:t>
      </w:r>
      <w:r w:rsidR="00BA5F6E" w:rsidRPr="00F675C7">
        <w:rPr>
          <w:rStyle w:val="normaltextrun1"/>
          <w:sz w:val="22"/>
          <w:lang w:val="en-US"/>
        </w:rPr>
        <w:t>M</w:t>
      </w:r>
      <w:r w:rsidRPr="00F675C7">
        <w:rPr>
          <w:rStyle w:val="normaltextrun1"/>
          <w:sz w:val="22"/>
          <w:lang w:val="en-US"/>
        </w:rPr>
        <w:t xml:space="preserve">aster’s and BA students from all HR programs. </w:t>
      </w:r>
      <w:r w:rsidR="00BA5F6E" w:rsidRPr="00F675C7">
        <w:rPr>
          <w:rStyle w:val="normaltextrun1"/>
          <w:sz w:val="22"/>
          <w:lang w:val="en-US"/>
        </w:rPr>
        <w:t>Eight</w:t>
      </w:r>
      <w:r w:rsidRPr="00F675C7">
        <w:rPr>
          <w:rStyle w:val="normaltextrun1"/>
          <w:sz w:val="22"/>
          <w:lang w:val="en-US"/>
        </w:rPr>
        <w:t xml:space="preserve"> years of digital collaboration </w:t>
      </w:r>
      <w:r w:rsidR="00CE43C5" w:rsidRPr="00F675C7">
        <w:rPr>
          <w:rStyle w:val="normaltextrun1"/>
          <w:sz w:val="22"/>
          <w:lang w:val="en-US"/>
        </w:rPr>
        <w:t xml:space="preserve">on this project </w:t>
      </w:r>
      <w:r w:rsidRPr="00F675C7">
        <w:rPr>
          <w:rStyle w:val="normaltextrun1"/>
          <w:sz w:val="22"/>
          <w:lang w:val="en-US"/>
        </w:rPr>
        <w:t>has led to an HR website (ljmuhr.wordpress.com)</w:t>
      </w:r>
      <w:r w:rsidRPr="00F675C7">
        <w:rPr>
          <w:rStyle w:val="eop"/>
          <w:sz w:val="22"/>
          <w:lang w:val="en-US"/>
        </w:rPr>
        <w:t xml:space="preserve"> </w:t>
      </w:r>
      <w:r w:rsidR="000B1FDC" w:rsidRPr="00F675C7">
        <w:rPr>
          <w:rStyle w:val="eop"/>
          <w:sz w:val="22"/>
          <w:lang w:val="en-US"/>
        </w:rPr>
        <w:t xml:space="preserve">that helps </w:t>
      </w:r>
      <w:r w:rsidRPr="00F675C7">
        <w:rPr>
          <w:rStyle w:val="normaltextrun1"/>
          <w:sz w:val="22"/>
          <w:lang w:val="en-US"/>
        </w:rPr>
        <w:t xml:space="preserve">to connect, </w:t>
      </w:r>
      <w:r w:rsidR="00A43660" w:rsidRPr="00F675C7">
        <w:rPr>
          <w:rStyle w:val="normaltextrun1"/>
          <w:sz w:val="22"/>
          <w:lang w:val="en-US"/>
        </w:rPr>
        <w:t>transform,</w:t>
      </w:r>
      <w:r w:rsidRPr="00F675C7">
        <w:rPr>
          <w:rStyle w:val="normaltextrun1"/>
          <w:sz w:val="22"/>
          <w:lang w:val="en-US"/>
        </w:rPr>
        <w:t xml:space="preserve"> and create unexpected yet powerful learning opportunities</w:t>
      </w:r>
      <w:r w:rsidR="000B1FDC" w:rsidRPr="00F675C7">
        <w:rPr>
          <w:rStyle w:val="normaltextrun1"/>
          <w:sz w:val="22"/>
          <w:lang w:val="en-US"/>
        </w:rPr>
        <w:t xml:space="preserve">.  </w:t>
      </w:r>
      <w:r w:rsidR="00BA5F6E" w:rsidRPr="00F675C7">
        <w:rPr>
          <w:rStyle w:val="normaltextrun1"/>
          <w:sz w:val="22"/>
          <w:lang w:val="en-US"/>
        </w:rPr>
        <w:t>The website is supported by</w:t>
      </w:r>
      <w:r w:rsidR="008E26B3" w:rsidRPr="00F675C7">
        <w:rPr>
          <w:rStyle w:val="normaltextrun1"/>
          <w:sz w:val="22"/>
          <w:lang w:val="en-US"/>
        </w:rPr>
        <w:t xml:space="preserve"> social media platform </w:t>
      </w:r>
      <w:r w:rsidR="00C71BF3" w:rsidRPr="00F675C7">
        <w:rPr>
          <w:rStyle w:val="normaltextrun1"/>
          <w:sz w:val="22"/>
          <w:lang w:val="en-US"/>
        </w:rPr>
        <w:t>activities</w:t>
      </w:r>
      <w:r w:rsidR="00A43660" w:rsidRPr="00F675C7">
        <w:rPr>
          <w:rStyle w:val="normaltextrun1"/>
          <w:sz w:val="22"/>
          <w:lang w:val="en-US"/>
        </w:rPr>
        <w:t>: HR X with 2</w:t>
      </w:r>
      <w:r w:rsidR="0087094F">
        <w:rPr>
          <w:rStyle w:val="normaltextrun1"/>
          <w:sz w:val="22"/>
          <w:lang w:val="en-US"/>
        </w:rPr>
        <w:t>424</w:t>
      </w:r>
      <w:r w:rsidR="00A43660" w:rsidRPr="00F675C7">
        <w:rPr>
          <w:rStyle w:val="normaltextrun1"/>
          <w:sz w:val="22"/>
          <w:lang w:val="en-US"/>
        </w:rPr>
        <w:t xml:space="preserve"> followers; HR Instagram with 4</w:t>
      </w:r>
      <w:r w:rsidR="00FB7C1D">
        <w:rPr>
          <w:rStyle w:val="normaltextrun1"/>
          <w:sz w:val="22"/>
          <w:lang w:val="en-US"/>
        </w:rPr>
        <w:t>62</w:t>
      </w:r>
      <w:r w:rsidR="00A43660" w:rsidRPr="00F675C7">
        <w:rPr>
          <w:rStyle w:val="normaltextrun1"/>
          <w:sz w:val="22"/>
          <w:lang w:val="en-US"/>
        </w:rPr>
        <w:t xml:space="preserve"> followers,</w:t>
      </w:r>
      <w:r w:rsidRPr="00F675C7">
        <w:rPr>
          <w:rStyle w:val="normaltextrun1"/>
          <w:sz w:val="22"/>
        </w:rPr>
        <w:t xml:space="preserve"> </w:t>
      </w:r>
      <w:r w:rsidR="0082096B">
        <w:rPr>
          <w:rStyle w:val="normaltextrun1"/>
          <w:sz w:val="22"/>
        </w:rPr>
        <w:t xml:space="preserve">HR Facebook with 400 followers </w:t>
      </w:r>
      <w:r w:rsidRPr="00F675C7">
        <w:rPr>
          <w:rStyle w:val="normaltextrun1"/>
          <w:sz w:val="22"/>
        </w:rPr>
        <w:t xml:space="preserve">and HR LinkedIn with </w:t>
      </w:r>
      <w:r w:rsidR="00FF6C0F">
        <w:rPr>
          <w:rStyle w:val="normaltextrun1"/>
          <w:sz w:val="22"/>
        </w:rPr>
        <w:t>490</w:t>
      </w:r>
      <w:r w:rsidRPr="00F675C7">
        <w:rPr>
          <w:rStyle w:val="normaltextrun1"/>
          <w:sz w:val="22"/>
        </w:rPr>
        <w:t xml:space="preserve"> members. Social networks are essential to individuals, e.g., Instagram targets Gen X and Y, whilst LinkedIn links all professional alumni. PSNG has supported c.5 CIPD events per annum and helped to organise two conferences</w:t>
      </w:r>
      <w:r w:rsidR="0066521B">
        <w:rPr>
          <w:rStyle w:val="eop"/>
          <w:sz w:val="22"/>
          <w:lang w:val="en-US"/>
        </w:rPr>
        <w:t>,</w:t>
      </w:r>
      <w:r w:rsidRPr="00F675C7">
        <w:rPr>
          <w:rStyle w:val="eop"/>
          <w:sz w:val="22"/>
          <w:lang w:val="en-US"/>
        </w:rPr>
        <w:t xml:space="preserve"> </w:t>
      </w:r>
      <w:r w:rsidRPr="00F675C7">
        <w:rPr>
          <w:rStyle w:val="normaltextrun1"/>
          <w:sz w:val="22"/>
        </w:rPr>
        <w:t>‘Changing HR’ 2017</w:t>
      </w:r>
      <w:r w:rsidR="00BA5F6E" w:rsidRPr="00F675C7">
        <w:rPr>
          <w:rStyle w:val="normaltextrun1"/>
          <w:sz w:val="22"/>
        </w:rPr>
        <w:t xml:space="preserve"> and ACERT</w:t>
      </w:r>
      <w:r w:rsidR="005414FC">
        <w:rPr>
          <w:rStyle w:val="normaltextrun1"/>
          <w:sz w:val="22"/>
        </w:rPr>
        <w:t xml:space="preserve"> </w:t>
      </w:r>
      <w:r w:rsidR="005414FC">
        <w:rPr>
          <w:rStyle w:val="normaltextrun1"/>
          <w:sz w:val="22"/>
        </w:rPr>
        <w:fldChar w:fldCharType="begin"/>
      </w:r>
      <w:r w:rsidR="005414FC">
        <w:rPr>
          <w:rStyle w:val="normaltextrun1"/>
          <w:sz w:val="22"/>
        </w:rPr>
        <w:instrText xml:space="preserve"> ADDIN EN.CITE &lt;EndNote&gt;&lt;Cite&gt;&lt;Author&gt;ACERT&lt;/Author&gt;&lt;Year&gt;2023&lt;/Year&gt;&lt;RecNum&gt;1873&lt;/RecNum&gt;&lt;DisplayText&gt;(ACERT, 2023)&lt;/DisplayText&gt;&lt;record&gt;&lt;rec-number&gt;1873&lt;/rec-number&gt;&lt;foreign-keys&gt;&lt;key app="EN" db-id="patrv0asqra2t5e5v0rx2dvy9f05vdd22sss" timestamp="1717923350"&gt;1873&lt;/key&gt;&lt;/foreign-keys&gt;&lt;ref-type name="Web Page"&gt;12&lt;/ref-type&gt;&lt;contributors&gt;&lt;authors&gt;&lt;author&gt;ACERT,&lt;/author&gt;&lt;/authors&gt;&lt;/contributors&gt;&lt;titles&gt;&lt;title&gt;Storytelling, Education and Wellbeing&lt;/title&gt;&lt;/titles&gt;&lt;volume&gt;2024&lt;/volume&gt;&lt;number&gt;8 June 2024&lt;/number&gt;&lt;dates&gt;&lt;year&gt;2023&lt;/year&gt;&lt;/dates&gt;&lt;pub-location&gt;ACERT&lt;/pub-location&gt;&lt;publisher&gt;ACERT&lt;/publisher&gt;&lt;urls&gt;&lt;related-urls&gt;&lt;url&gt;https://acert.org.uk/the-conference-takes-shape-duplicate-1/&lt;/url&gt;&lt;/related-urls&gt;&lt;/urls&gt;&lt;custom1&gt;2023&lt;/custom1&gt;&lt;custom2&gt;3 February 2023&lt;/custom2&gt;&lt;/record&gt;&lt;/Cite&gt;&lt;/EndNote&gt;</w:instrText>
      </w:r>
      <w:r w:rsidR="005414FC">
        <w:rPr>
          <w:rStyle w:val="normaltextrun1"/>
          <w:sz w:val="22"/>
        </w:rPr>
        <w:fldChar w:fldCharType="separate"/>
      </w:r>
      <w:r w:rsidR="005414FC">
        <w:rPr>
          <w:rStyle w:val="normaltextrun1"/>
          <w:noProof/>
          <w:sz w:val="22"/>
        </w:rPr>
        <w:t>(ACERT, 2023)</w:t>
      </w:r>
      <w:r w:rsidR="005414FC">
        <w:rPr>
          <w:rStyle w:val="normaltextrun1"/>
          <w:sz w:val="22"/>
        </w:rPr>
        <w:fldChar w:fldCharType="end"/>
      </w:r>
      <w:r w:rsidRPr="00F675C7">
        <w:rPr>
          <w:rStyle w:val="normaltextrun1"/>
          <w:sz w:val="22"/>
        </w:rPr>
        <w:t xml:space="preserve">. </w:t>
      </w:r>
    </w:p>
    <w:p w14:paraId="12BA4D22" w14:textId="141DFF87" w:rsidR="00915FB6" w:rsidRPr="00F675C7" w:rsidRDefault="00A43660" w:rsidP="009B05A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675C7">
        <w:rPr>
          <w:rFonts w:ascii="Arial" w:hAnsi="Arial" w:cs="Arial"/>
          <w:sz w:val="22"/>
          <w:szCs w:val="22"/>
        </w:rPr>
        <w:t xml:space="preserve">My </w:t>
      </w:r>
      <w:r w:rsidR="00915FB6" w:rsidRPr="00F675C7">
        <w:rPr>
          <w:rFonts w:ascii="Arial" w:hAnsi="Arial" w:cs="Arial"/>
          <w:sz w:val="22"/>
          <w:szCs w:val="22"/>
        </w:rPr>
        <w:t>research</w:t>
      </w:r>
      <w:r w:rsidR="00F675C7" w:rsidRPr="00F675C7">
        <w:rPr>
          <w:rFonts w:ascii="Arial" w:hAnsi="Arial" w:cs="Arial"/>
          <w:sz w:val="22"/>
          <w:szCs w:val="22"/>
        </w:rPr>
        <w:t xml:space="preserve">, which resulted in a book chapter in </w:t>
      </w:r>
      <w:r w:rsidR="00F675C7" w:rsidRPr="009B05A2">
        <w:rPr>
          <w:rFonts w:ascii="Arial" w:hAnsi="Arial" w:cs="Arial"/>
          <w:i/>
          <w:iCs/>
          <w:sz w:val="22"/>
          <w:szCs w:val="22"/>
        </w:rPr>
        <w:t>The Future of HRD</w:t>
      </w:r>
      <w:r w:rsidR="00F675C7" w:rsidRPr="00F675C7">
        <w:rPr>
          <w:rFonts w:ascii="Arial" w:hAnsi="Arial" w:cs="Arial"/>
          <w:sz w:val="22"/>
          <w:szCs w:val="22"/>
        </w:rPr>
        <w:t xml:space="preserve">, Volume 1 </w:t>
      </w:r>
      <w:r w:rsidR="00387412">
        <w:rPr>
          <w:rFonts w:ascii="Arial" w:hAnsi="Arial" w:cs="Arial"/>
          <w:sz w:val="22"/>
          <w:szCs w:val="22"/>
        </w:rPr>
        <w:fldChar w:fldCharType="begin"/>
      </w:r>
      <w:r w:rsidR="00387412">
        <w:rPr>
          <w:rFonts w:ascii="Arial" w:hAnsi="Arial" w:cs="Arial"/>
          <w:sz w:val="22"/>
          <w:szCs w:val="22"/>
        </w:rPr>
        <w:instrText xml:space="preserve"> ADDIN EN.CITE &lt;EndNote&gt;&lt;Cite&gt;&lt;Author&gt;Harrison&lt;/Author&gt;&lt;Year&gt;2020&lt;/Year&gt;&lt;RecNum&gt;1541&lt;/RecNum&gt;&lt;DisplayText&gt;(Harrison, Nichol, &amp;amp; Gold, 2020)&lt;/DisplayText&gt;&lt;record&gt;&lt;rec-number&gt;1541&lt;/rec-number&gt;&lt;foreign-keys&gt;&lt;key app="EN" db-id="patrv0asqra2t5e5v0rx2dvy9f05vdd22sss" timestamp="1607963123"&gt;1541&lt;/key&gt;&lt;/foreign-keys&gt;&lt;ref-type name="Book Section"&gt;5&lt;/ref-type&gt;&lt;contributors&gt;&lt;authors&gt;&lt;author&gt;Harrison, P&lt;/author&gt;&lt;author&gt;Nichol, Lynn&lt;/author&gt;&lt;author&gt;Gold, J&lt;/author&gt;&lt;/authors&gt;&lt;secondary-authors&gt;&lt;author&gt;Loon, M&lt;/author&gt;&lt;author&gt;Stewart, J&lt;/author&gt;&lt;author&gt;Nachmias, S&lt;/author&gt;&lt;/secondary-authors&gt;&lt;/contributors&gt;&lt;titles&gt;&lt;title&gt;Redefining HRD Roles and Practice in the Machine Learning Revolution&lt;/title&gt;&lt;secondary-title&gt;The Future of HRD, Innovation and Technology&lt;/secondary-title&gt;&lt;/titles&gt;&lt;pages&gt;143-166&lt;/pages&gt;&lt;volume&gt;1&lt;/volume&gt;&lt;num-vols&gt;2&lt;/num-vols&gt;&lt;section&gt;6&lt;/section&gt;&lt;dates&gt;&lt;year&gt;2020&lt;/year&gt;&lt;/dates&gt;&lt;pub-location&gt;Switzerland&lt;/pub-location&gt;&lt;publisher&gt;palgrave macmillan&lt;/publisher&gt;&lt;isbn&gt;978-3-030-52409-8&lt;/isbn&gt;&lt;urls&gt;&lt;/urls&gt;&lt;/record&gt;&lt;/Cite&gt;&lt;/EndNote&gt;</w:instrText>
      </w:r>
      <w:r w:rsidR="00387412">
        <w:rPr>
          <w:rFonts w:ascii="Arial" w:hAnsi="Arial" w:cs="Arial"/>
          <w:sz w:val="22"/>
          <w:szCs w:val="22"/>
        </w:rPr>
        <w:fldChar w:fldCharType="separate"/>
      </w:r>
      <w:r w:rsidR="00387412">
        <w:rPr>
          <w:rFonts w:ascii="Arial" w:hAnsi="Arial" w:cs="Arial"/>
          <w:noProof/>
          <w:sz w:val="22"/>
          <w:szCs w:val="22"/>
        </w:rPr>
        <w:t>(Harrison, Nichol, &amp; Gold, 2020)</w:t>
      </w:r>
      <w:r w:rsidR="00387412">
        <w:rPr>
          <w:rFonts w:ascii="Arial" w:hAnsi="Arial" w:cs="Arial"/>
          <w:sz w:val="22"/>
          <w:szCs w:val="22"/>
        </w:rPr>
        <w:fldChar w:fldCharType="end"/>
      </w:r>
      <w:r w:rsidR="00F675C7" w:rsidRPr="00F675C7">
        <w:rPr>
          <w:rFonts w:ascii="Arial" w:hAnsi="Arial" w:cs="Arial"/>
          <w:sz w:val="22"/>
          <w:szCs w:val="22"/>
        </w:rPr>
        <w:t xml:space="preserve"> on Artificial Intelligence and the profession, is innovative and groundbreaking. The research highlighted practitioners' limited knowledge</w:t>
      </w:r>
      <w:r w:rsidR="00BA5F6E" w:rsidRPr="00F675C7">
        <w:rPr>
          <w:rFonts w:ascii="Arial" w:hAnsi="Arial" w:cs="Arial"/>
          <w:sz w:val="22"/>
          <w:szCs w:val="22"/>
        </w:rPr>
        <w:t xml:space="preserve"> of AI.</w:t>
      </w:r>
    </w:p>
    <w:p w14:paraId="03A04270" w14:textId="77777777" w:rsidR="00A43660" w:rsidRPr="00F675C7" w:rsidRDefault="00A43660" w:rsidP="009B05A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08B7504" w14:textId="4AA2D284" w:rsidR="00C62749" w:rsidRPr="00F675C7" w:rsidRDefault="00C62749" w:rsidP="009B05A2">
      <w:pPr>
        <w:spacing w:line="276" w:lineRule="auto"/>
        <w:rPr>
          <w:i/>
          <w:iCs/>
          <w:sz w:val="22"/>
        </w:rPr>
      </w:pPr>
      <w:r w:rsidRPr="00F675C7">
        <w:rPr>
          <w:b/>
          <w:bCs/>
          <w:sz w:val="22"/>
        </w:rPr>
        <w:t xml:space="preserve">Impact on curriculum </w:t>
      </w:r>
    </w:p>
    <w:p w14:paraId="2713665F" w14:textId="620560BF" w:rsidR="001F55C0" w:rsidRPr="00F675C7" w:rsidRDefault="00A43660" w:rsidP="009B05A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675C7">
        <w:rPr>
          <w:rFonts w:ascii="Arial" w:hAnsi="Arial" w:cs="Arial"/>
          <w:sz w:val="22"/>
          <w:szCs w:val="22"/>
        </w:rPr>
        <w:lastRenderedPageBreak/>
        <w:t xml:space="preserve">I have used learning in practice </w:t>
      </w:r>
      <w:r w:rsidR="00DE4543" w:rsidRPr="00F675C7">
        <w:rPr>
          <w:rFonts w:ascii="Arial" w:hAnsi="Arial" w:cs="Arial"/>
          <w:sz w:val="22"/>
          <w:szCs w:val="22"/>
        </w:rPr>
        <w:t xml:space="preserve">to help HR students </w:t>
      </w:r>
      <w:r w:rsidR="00BA5F6E" w:rsidRPr="00F675C7">
        <w:rPr>
          <w:rFonts w:ascii="Arial" w:hAnsi="Arial" w:cs="Arial"/>
          <w:sz w:val="22"/>
          <w:szCs w:val="22"/>
        </w:rPr>
        <w:t>develop their employability skills</w:t>
      </w:r>
      <w:r w:rsidR="00DE4543" w:rsidRPr="00F675C7">
        <w:rPr>
          <w:rFonts w:ascii="Arial" w:hAnsi="Arial" w:cs="Arial"/>
          <w:sz w:val="22"/>
          <w:szCs w:val="22"/>
        </w:rPr>
        <w:t>.</w:t>
      </w:r>
      <w:r w:rsidR="008349DF">
        <w:rPr>
          <w:rFonts w:ascii="Arial" w:hAnsi="Arial" w:cs="Arial"/>
          <w:sz w:val="22"/>
          <w:szCs w:val="22"/>
        </w:rPr>
        <w:t xml:space="preserve"> My research identified the increased prevalence of AI/Gen AI, such as the use of chatbots in the recruitment process. Thus, I redesigned my 2023 employability module, introducing practical activities to enable students to successfully achieve chatbot/person interviews</w:t>
      </w:r>
      <w:r w:rsidR="00DE4543" w:rsidRPr="00F675C7">
        <w:rPr>
          <w:rFonts w:ascii="Arial" w:hAnsi="Arial" w:cs="Arial"/>
          <w:sz w:val="22"/>
          <w:szCs w:val="22"/>
        </w:rPr>
        <w:t>.</w:t>
      </w:r>
      <w:r w:rsidRPr="00F675C7">
        <w:rPr>
          <w:rFonts w:ascii="Arial" w:hAnsi="Arial" w:cs="Arial"/>
          <w:sz w:val="22"/>
          <w:szCs w:val="22"/>
        </w:rPr>
        <w:t xml:space="preserve"> I also </w:t>
      </w:r>
      <w:r w:rsidR="001F55C0" w:rsidRPr="00F675C7">
        <w:rPr>
          <w:rFonts w:ascii="Arial" w:hAnsi="Arial" w:cs="Arial"/>
          <w:sz w:val="22"/>
          <w:szCs w:val="22"/>
        </w:rPr>
        <w:t>developed the module further via my international teaching experience in France (January 2024) and Prague (March 202</w:t>
      </w:r>
      <w:r w:rsidR="008349DF">
        <w:rPr>
          <w:rFonts w:ascii="Arial" w:hAnsi="Arial" w:cs="Arial"/>
          <w:sz w:val="22"/>
          <w:szCs w:val="22"/>
        </w:rPr>
        <w:t>4</w:t>
      </w:r>
      <w:r w:rsidR="001F55C0" w:rsidRPr="00F675C7">
        <w:rPr>
          <w:rFonts w:ascii="Arial" w:hAnsi="Arial" w:cs="Arial"/>
          <w:sz w:val="22"/>
          <w:szCs w:val="22"/>
        </w:rPr>
        <w:t>).</w:t>
      </w:r>
      <w:r w:rsidR="00DE4543" w:rsidRPr="00F675C7">
        <w:rPr>
          <w:rFonts w:ascii="Arial" w:hAnsi="Arial" w:cs="Arial"/>
          <w:sz w:val="22"/>
          <w:szCs w:val="22"/>
        </w:rPr>
        <w:t xml:space="preserve"> </w:t>
      </w:r>
    </w:p>
    <w:p w14:paraId="13626682" w14:textId="77777777" w:rsidR="001F55C0" w:rsidRPr="00F675C7" w:rsidRDefault="001F55C0" w:rsidP="009B05A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F464BD9" w14:textId="149CF702" w:rsidR="00DE4543" w:rsidRPr="00F675C7" w:rsidRDefault="00DE4543" w:rsidP="009B05A2">
      <w:pPr>
        <w:pStyle w:val="Default"/>
        <w:spacing w:line="276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F675C7">
        <w:rPr>
          <w:rFonts w:ascii="Arial" w:hAnsi="Arial" w:cs="Arial"/>
          <w:sz w:val="22"/>
          <w:szCs w:val="22"/>
        </w:rPr>
        <w:t xml:space="preserve">I go above and beyond to support my students </w:t>
      </w:r>
      <w:r w:rsidR="001F55C0" w:rsidRPr="00F675C7">
        <w:rPr>
          <w:rFonts w:ascii="Arial" w:hAnsi="Arial" w:cs="Arial"/>
          <w:sz w:val="22"/>
          <w:szCs w:val="22"/>
        </w:rPr>
        <w:t>in finding</w:t>
      </w:r>
      <w:r w:rsidRPr="00F675C7">
        <w:rPr>
          <w:rFonts w:ascii="Arial" w:hAnsi="Arial" w:cs="Arial"/>
          <w:sz w:val="22"/>
          <w:szCs w:val="22"/>
        </w:rPr>
        <w:t xml:space="preserve"> </w:t>
      </w:r>
      <w:r w:rsidR="00A43660" w:rsidRPr="00F675C7">
        <w:rPr>
          <w:rFonts w:ascii="Arial" w:hAnsi="Arial" w:cs="Arial"/>
          <w:sz w:val="22"/>
          <w:szCs w:val="22"/>
        </w:rPr>
        <w:t>full-time</w:t>
      </w:r>
      <w:r w:rsidRPr="00F675C7">
        <w:rPr>
          <w:rFonts w:ascii="Arial" w:hAnsi="Arial" w:cs="Arial"/>
          <w:sz w:val="22"/>
          <w:szCs w:val="22"/>
        </w:rPr>
        <w:t xml:space="preserve"> and part-time work. The email I received from Dave, an HR student in March 2021, I think, sums up the extra mile I go ‘</w:t>
      </w:r>
      <w:r w:rsidRPr="00F675C7">
        <w:rPr>
          <w:rFonts w:ascii="Arial" w:hAnsi="Arial" w:cs="Arial"/>
          <w:i/>
          <w:iCs/>
          <w:color w:val="auto"/>
          <w:sz w:val="22"/>
          <w:szCs w:val="22"/>
        </w:rPr>
        <w:t>We did it, we did it, we got the job (Dave, HR Student 2021)</w:t>
      </w:r>
      <w:r w:rsidRPr="00F675C7">
        <w:rPr>
          <w:rFonts w:ascii="Arial" w:hAnsi="Arial" w:cs="Arial"/>
          <w:color w:val="auto"/>
          <w:sz w:val="22"/>
          <w:szCs w:val="22"/>
        </w:rPr>
        <w:t>’.</w:t>
      </w:r>
      <w:r w:rsidR="003C15B2" w:rsidRPr="00F675C7">
        <w:rPr>
          <w:rFonts w:ascii="Arial" w:hAnsi="Arial" w:cs="Arial"/>
          <w:color w:val="auto"/>
          <w:sz w:val="22"/>
          <w:szCs w:val="22"/>
        </w:rPr>
        <w:t xml:space="preserve"> </w:t>
      </w:r>
      <w:r w:rsidR="00890BD6" w:rsidRPr="00F675C7">
        <w:rPr>
          <w:rFonts w:ascii="Arial" w:hAnsi="Arial" w:cs="Arial"/>
          <w:color w:val="auto"/>
          <w:sz w:val="22"/>
          <w:szCs w:val="22"/>
        </w:rPr>
        <w:t>Dave</w:t>
      </w:r>
      <w:r w:rsidR="00164CC3" w:rsidRPr="00F675C7">
        <w:rPr>
          <w:rFonts w:ascii="Arial" w:hAnsi="Arial" w:cs="Arial"/>
          <w:color w:val="auto"/>
          <w:sz w:val="22"/>
          <w:szCs w:val="22"/>
        </w:rPr>
        <w:t xml:space="preserve">’s background as a BAME, </w:t>
      </w:r>
      <w:r w:rsidR="001F55C0" w:rsidRPr="00F675C7">
        <w:rPr>
          <w:rFonts w:ascii="Arial" w:hAnsi="Arial" w:cs="Arial"/>
          <w:color w:val="auto"/>
          <w:sz w:val="22"/>
          <w:szCs w:val="22"/>
        </w:rPr>
        <w:t>first-generation university student resulted in us</w:t>
      </w:r>
      <w:r w:rsidR="0042388F" w:rsidRPr="00F675C7">
        <w:rPr>
          <w:rFonts w:ascii="Arial" w:hAnsi="Arial" w:cs="Arial"/>
          <w:color w:val="auto"/>
          <w:sz w:val="22"/>
          <w:szCs w:val="22"/>
        </w:rPr>
        <w:t xml:space="preserve"> working closely </w:t>
      </w:r>
      <w:r w:rsidR="00877052" w:rsidRPr="00F675C7">
        <w:rPr>
          <w:rFonts w:ascii="Arial" w:hAnsi="Arial" w:cs="Arial"/>
          <w:color w:val="auto"/>
          <w:sz w:val="22"/>
          <w:szCs w:val="22"/>
        </w:rPr>
        <w:t xml:space="preserve">to identify and record his significant, </w:t>
      </w:r>
      <w:r w:rsidR="001F55C0" w:rsidRPr="00F675C7">
        <w:rPr>
          <w:rFonts w:ascii="Arial" w:hAnsi="Arial" w:cs="Arial"/>
          <w:color w:val="auto"/>
          <w:sz w:val="22"/>
          <w:szCs w:val="22"/>
        </w:rPr>
        <w:t>exciting</w:t>
      </w:r>
      <w:r w:rsidR="008649B0">
        <w:rPr>
          <w:rFonts w:ascii="Arial" w:hAnsi="Arial" w:cs="Arial"/>
          <w:color w:val="auto"/>
          <w:sz w:val="22"/>
          <w:szCs w:val="22"/>
        </w:rPr>
        <w:t>,</w:t>
      </w:r>
      <w:r w:rsidR="00877052" w:rsidRPr="00F675C7">
        <w:rPr>
          <w:rFonts w:ascii="Arial" w:hAnsi="Arial" w:cs="Arial"/>
          <w:color w:val="auto"/>
          <w:sz w:val="22"/>
          <w:szCs w:val="22"/>
        </w:rPr>
        <w:t xml:space="preserve"> and relevant work experience. </w:t>
      </w:r>
      <w:r w:rsidR="006D61F0" w:rsidRPr="00F675C7">
        <w:rPr>
          <w:rFonts w:ascii="Arial" w:hAnsi="Arial" w:cs="Arial"/>
          <w:color w:val="auto"/>
          <w:sz w:val="22"/>
          <w:szCs w:val="22"/>
        </w:rPr>
        <w:t xml:space="preserve">Whilst Nicole (HR student 2024) shared how being part of </w:t>
      </w:r>
      <w:r w:rsidR="008649B0">
        <w:rPr>
          <w:rFonts w:ascii="Arial" w:hAnsi="Arial" w:cs="Arial"/>
          <w:color w:val="auto"/>
          <w:sz w:val="22"/>
          <w:szCs w:val="22"/>
        </w:rPr>
        <w:t>the</w:t>
      </w:r>
      <w:r w:rsidR="006D61F0" w:rsidRPr="00F675C7">
        <w:rPr>
          <w:rFonts w:ascii="Arial" w:hAnsi="Arial" w:cs="Arial"/>
          <w:color w:val="auto"/>
          <w:sz w:val="22"/>
          <w:szCs w:val="22"/>
        </w:rPr>
        <w:t xml:space="preserve"> PSNG had made a difference in securing the first placement she applied for.</w:t>
      </w:r>
    </w:p>
    <w:p w14:paraId="16D86B2C" w14:textId="77777777" w:rsidR="00DE4543" w:rsidRPr="00F675C7" w:rsidRDefault="00DE4543" w:rsidP="009B05A2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  <w:highlight w:val="cyan"/>
        </w:rPr>
      </w:pPr>
    </w:p>
    <w:p w14:paraId="6B122A15" w14:textId="0F81DE6E" w:rsidR="00C62749" w:rsidRPr="00F675C7" w:rsidRDefault="00F11836" w:rsidP="009B05A2">
      <w:pPr>
        <w:spacing w:line="276" w:lineRule="auto"/>
        <w:rPr>
          <w:rStyle w:val="normaltextrun1"/>
          <w:bCs/>
          <w:sz w:val="22"/>
          <w:lang w:val="en-US"/>
        </w:rPr>
      </w:pPr>
      <w:r w:rsidRPr="00F675C7">
        <w:rPr>
          <w:rStyle w:val="normaltextrun1"/>
          <w:bCs/>
          <w:sz w:val="22"/>
          <w:lang w:val="en-US"/>
        </w:rPr>
        <w:t>PSNG creates a broader impact on student experience and employability, including advertising HR positions, guest speakers, or mock interviews. For example, in November 202</w:t>
      </w:r>
      <w:r w:rsidR="003C15B2" w:rsidRPr="00F675C7">
        <w:rPr>
          <w:rStyle w:val="normaltextrun1"/>
          <w:bCs/>
          <w:sz w:val="22"/>
          <w:lang w:val="en-US"/>
        </w:rPr>
        <w:t>3</w:t>
      </w:r>
      <w:r w:rsidRPr="00F675C7">
        <w:rPr>
          <w:rStyle w:val="normaltextrun1"/>
          <w:bCs/>
          <w:sz w:val="22"/>
          <w:lang w:val="en-US"/>
        </w:rPr>
        <w:t xml:space="preserve">, I </w:t>
      </w:r>
      <w:r w:rsidR="003C15B2" w:rsidRPr="00F675C7">
        <w:rPr>
          <w:rStyle w:val="normaltextrun1"/>
          <w:bCs/>
          <w:sz w:val="22"/>
          <w:lang w:val="en-US"/>
        </w:rPr>
        <w:t>invited HR practitioners on our social media platforms to help with mock interviews</w:t>
      </w:r>
      <w:r w:rsidR="001F55C0" w:rsidRPr="00F675C7">
        <w:rPr>
          <w:rStyle w:val="normaltextrun1"/>
          <w:bCs/>
          <w:sz w:val="22"/>
          <w:lang w:val="en-US"/>
        </w:rPr>
        <w:t xml:space="preserve">, and </w:t>
      </w:r>
      <w:r w:rsidRPr="00F675C7">
        <w:rPr>
          <w:rStyle w:val="normaltextrun1"/>
          <w:bCs/>
          <w:sz w:val="22"/>
          <w:lang w:val="en-US"/>
        </w:rPr>
        <w:t>I received 22 responses</w:t>
      </w:r>
      <w:r w:rsidR="003C15B2" w:rsidRPr="00F675C7">
        <w:rPr>
          <w:rStyle w:val="normaltextrun1"/>
          <w:bCs/>
          <w:sz w:val="22"/>
          <w:lang w:val="en-US"/>
        </w:rPr>
        <w:t xml:space="preserve"> within two days</w:t>
      </w:r>
      <w:r w:rsidRPr="00F675C7">
        <w:rPr>
          <w:rStyle w:val="normaltextrun1"/>
          <w:bCs/>
          <w:sz w:val="22"/>
          <w:lang w:val="en-US"/>
        </w:rPr>
        <w:t xml:space="preserve">. I </w:t>
      </w:r>
      <w:proofErr w:type="spellStart"/>
      <w:r w:rsidRPr="00F675C7">
        <w:rPr>
          <w:rStyle w:val="normaltextrun1"/>
          <w:bCs/>
          <w:sz w:val="22"/>
          <w:lang w:val="en-US"/>
        </w:rPr>
        <w:t>organised</w:t>
      </w:r>
      <w:proofErr w:type="spellEnd"/>
      <w:r w:rsidRPr="00F675C7">
        <w:rPr>
          <w:rStyle w:val="normaltextrun1"/>
          <w:bCs/>
          <w:sz w:val="22"/>
          <w:lang w:val="en-US"/>
        </w:rPr>
        <w:t xml:space="preserve"> online mock interviews for </w:t>
      </w:r>
      <w:r w:rsidR="001F55C0" w:rsidRPr="00F675C7">
        <w:rPr>
          <w:rStyle w:val="normaltextrun1"/>
          <w:bCs/>
          <w:sz w:val="22"/>
          <w:lang w:val="en-US"/>
        </w:rPr>
        <w:t>five students at all HR levels</w:t>
      </w:r>
      <w:r w:rsidRPr="00F675C7">
        <w:rPr>
          <w:rStyle w:val="normaltextrun1"/>
          <w:bCs/>
          <w:sz w:val="22"/>
          <w:lang w:val="en-US"/>
        </w:rPr>
        <w:t>. One student shared how she secured a job with the NHS because of the practice</w:t>
      </w:r>
      <w:r w:rsidR="001F55C0" w:rsidRPr="00F675C7">
        <w:rPr>
          <w:rStyle w:val="normaltextrun1"/>
          <w:bCs/>
          <w:sz w:val="22"/>
          <w:lang w:val="en-US"/>
        </w:rPr>
        <w:t>. She</w:t>
      </w:r>
      <w:r w:rsidRPr="00F675C7">
        <w:rPr>
          <w:rStyle w:val="normaltextrun1"/>
          <w:bCs/>
          <w:sz w:val="22"/>
          <w:lang w:val="en-US"/>
        </w:rPr>
        <w:t xml:space="preserve"> felt ‘confident’ and ‘prepared’ for the interview.</w:t>
      </w:r>
      <w:r w:rsidR="007D02A9" w:rsidRPr="00F675C7">
        <w:rPr>
          <w:rStyle w:val="normaltextrun1"/>
          <w:bCs/>
          <w:sz w:val="22"/>
          <w:lang w:val="en-US"/>
        </w:rPr>
        <w:t xml:space="preserve"> The mock interview has now been incorporated </w:t>
      </w:r>
      <w:r w:rsidR="007249AA">
        <w:rPr>
          <w:rStyle w:val="normaltextrun1"/>
          <w:bCs/>
          <w:sz w:val="22"/>
          <w:lang w:val="en-US"/>
        </w:rPr>
        <w:t>into</w:t>
      </w:r>
      <w:r w:rsidR="007D02A9" w:rsidRPr="00F675C7">
        <w:rPr>
          <w:rStyle w:val="normaltextrun1"/>
          <w:bCs/>
          <w:sz w:val="22"/>
          <w:lang w:val="en-US"/>
        </w:rPr>
        <w:t xml:space="preserve"> the Assessment Centre experience that </w:t>
      </w:r>
      <w:r w:rsidR="001F55C0" w:rsidRPr="00F675C7">
        <w:rPr>
          <w:rStyle w:val="normaltextrun1"/>
          <w:bCs/>
          <w:sz w:val="22"/>
          <w:lang w:val="en-US"/>
        </w:rPr>
        <w:t>most</w:t>
      </w:r>
      <w:r w:rsidR="007D02A9" w:rsidRPr="00F675C7">
        <w:rPr>
          <w:rStyle w:val="normaltextrun1"/>
          <w:bCs/>
          <w:sz w:val="22"/>
          <w:lang w:val="en-US"/>
        </w:rPr>
        <w:t xml:space="preserve"> Business School students attend. </w:t>
      </w:r>
      <w:r w:rsidR="002F02FF">
        <w:rPr>
          <w:rStyle w:val="normaltextrun1"/>
          <w:bCs/>
          <w:sz w:val="22"/>
          <w:lang w:val="en-US"/>
        </w:rPr>
        <w:t>Students also broaden their experience and ‘give back’ to others</w:t>
      </w:r>
      <w:r w:rsidR="00D65ABA">
        <w:rPr>
          <w:rStyle w:val="normaltextrun1"/>
          <w:bCs/>
          <w:sz w:val="22"/>
          <w:lang w:val="en-US"/>
        </w:rPr>
        <w:t>,</w:t>
      </w:r>
      <w:r w:rsidR="002F02FF">
        <w:rPr>
          <w:rStyle w:val="normaltextrun1"/>
          <w:bCs/>
          <w:sz w:val="22"/>
          <w:lang w:val="en-US"/>
        </w:rPr>
        <w:t xml:space="preserve"> as demonstrated </w:t>
      </w:r>
      <w:r w:rsidR="00D65ABA">
        <w:rPr>
          <w:rStyle w:val="normaltextrun1"/>
          <w:bCs/>
          <w:sz w:val="22"/>
          <w:lang w:val="en-US"/>
        </w:rPr>
        <w:t xml:space="preserve">in the </w:t>
      </w:r>
      <w:r w:rsidR="00C8059E">
        <w:rPr>
          <w:rStyle w:val="normaltextrun1"/>
          <w:bCs/>
          <w:sz w:val="22"/>
          <w:lang w:val="en-US"/>
        </w:rPr>
        <w:t>publication developed by t</w:t>
      </w:r>
      <w:r w:rsidR="00C3070D">
        <w:rPr>
          <w:rStyle w:val="normaltextrun1"/>
          <w:bCs/>
          <w:sz w:val="22"/>
          <w:lang w:val="en-US"/>
        </w:rPr>
        <w:t>wo of the past PSNG students</w:t>
      </w:r>
      <w:r w:rsidR="00C8059E">
        <w:rPr>
          <w:rStyle w:val="normaltextrun1"/>
          <w:bCs/>
          <w:sz w:val="22"/>
          <w:lang w:val="en-US"/>
        </w:rPr>
        <w:t xml:space="preserve">, </w:t>
      </w:r>
      <w:r w:rsidR="0072312A">
        <w:rPr>
          <w:rStyle w:val="normaltextrun1"/>
          <w:bCs/>
          <w:sz w:val="22"/>
          <w:lang w:val="en-US"/>
        </w:rPr>
        <w:t>Ines Coutin</w:t>
      </w:r>
      <w:r w:rsidR="00D65ABA">
        <w:rPr>
          <w:rStyle w:val="normaltextrun1"/>
          <w:bCs/>
          <w:sz w:val="22"/>
          <w:lang w:val="en-US"/>
        </w:rPr>
        <w:t>ho</w:t>
      </w:r>
      <w:r w:rsidR="0072312A">
        <w:rPr>
          <w:rStyle w:val="normaltextrun1"/>
          <w:bCs/>
          <w:sz w:val="22"/>
          <w:lang w:val="en-US"/>
        </w:rPr>
        <w:t xml:space="preserve"> and Elle Maguire</w:t>
      </w:r>
      <w:r w:rsidR="00EA634B">
        <w:rPr>
          <w:rStyle w:val="normaltextrun1"/>
          <w:bCs/>
          <w:sz w:val="22"/>
          <w:lang w:val="en-US"/>
        </w:rPr>
        <w:t>,</w:t>
      </w:r>
      <w:r w:rsidR="0072312A">
        <w:rPr>
          <w:rStyle w:val="normaltextrun1"/>
          <w:bCs/>
          <w:sz w:val="22"/>
          <w:lang w:val="en-US"/>
        </w:rPr>
        <w:t xml:space="preserve"> </w:t>
      </w:r>
      <w:r w:rsidR="000109DD">
        <w:rPr>
          <w:rStyle w:val="normaltextrun1"/>
          <w:bCs/>
          <w:sz w:val="22"/>
          <w:lang w:val="en-US"/>
        </w:rPr>
        <w:t xml:space="preserve">who </w:t>
      </w:r>
      <w:r w:rsidR="00C3070D">
        <w:rPr>
          <w:rStyle w:val="normaltextrun1"/>
          <w:bCs/>
          <w:sz w:val="22"/>
          <w:lang w:val="en-US"/>
        </w:rPr>
        <w:t xml:space="preserve">worked with myself and Helen Collins </w:t>
      </w:r>
      <w:r w:rsidR="000109DD">
        <w:rPr>
          <w:rStyle w:val="normaltextrun1"/>
          <w:bCs/>
          <w:sz w:val="22"/>
          <w:lang w:val="en-US"/>
        </w:rPr>
        <w:t xml:space="preserve">on Project Dream </w:t>
      </w:r>
      <w:r w:rsidR="00EA634B">
        <w:rPr>
          <w:rStyle w:val="normaltextrun1"/>
          <w:bCs/>
          <w:sz w:val="22"/>
          <w:lang w:val="en-US"/>
        </w:rPr>
        <w:fldChar w:fldCharType="begin"/>
      </w:r>
      <w:r w:rsidR="00EA634B">
        <w:rPr>
          <w:rStyle w:val="normaltextrun1"/>
          <w:bCs/>
          <w:sz w:val="22"/>
          <w:lang w:val="en-US"/>
        </w:rPr>
        <w:instrText xml:space="preserve"> ADDIN EN.CITE &lt;EndNote&gt;&lt;Cite&gt;&lt;Author&gt;Sarcol&lt;/Author&gt;&lt;Year&gt;2024&lt;/Year&gt;&lt;RecNum&gt;1841&lt;/RecNum&gt;&lt;DisplayText&gt;(Sarcol, Coutinho, Maguire, Collins, &amp;amp; Jolliffe, 2024)&lt;/DisplayText&gt;&lt;record&gt;&lt;rec-number&gt;1841&lt;/rec-number&gt;&lt;foreign-keys&gt;&lt;key app="EN" db-id="patrv0asqra2t5e5v0rx2dvy9f05vdd22sss" timestamp="1705055894"&gt;1841&lt;/key&gt;&lt;/foreign-keys&gt;&lt;ref-type name="Journal Article"&gt;17&lt;/ref-type&gt;&lt;contributors&gt;&lt;authors&gt;&lt;author&gt;Sarcol, E&lt;/author&gt;&lt;author&gt;Coutinho, I&lt;/author&gt;&lt;author&gt;Maguire, E&lt;/author&gt;&lt;author&gt;Collins, H&lt;/author&gt;&lt;author&gt;Jolliffe, P&lt;/author&gt;&lt;/authors&gt;&lt;/contributors&gt;&lt;titles&gt;&lt;title&gt;Exploring Women&amp;apos;s Education and Employment Opportunities in India, Syria, and the Philippines&lt;/title&gt;&lt;secondary-title&gt;The Qualitative Report&lt;/secondary-title&gt;&lt;/titles&gt;&lt;periodical&gt;&lt;full-title&gt;The Qualitative Report&lt;/full-title&gt;&lt;/periodical&gt;&lt;volume&gt;29&lt;/volume&gt;&lt;number&gt;1&lt;/number&gt;&lt;dates&gt;&lt;year&gt;2024&lt;/year&gt;&lt;/dates&gt;&lt;urls&gt;&lt;/urls&gt;&lt;electronic-resource-num&gt;10.46743/2160-3715/2024.5728&lt;/electronic-resource-num&gt;&lt;/record&gt;&lt;/Cite&gt;&lt;/EndNote&gt;</w:instrText>
      </w:r>
      <w:r w:rsidR="00EA634B">
        <w:rPr>
          <w:rStyle w:val="normaltextrun1"/>
          <w:bCs/>
          <w:sz w:val="22"/>
          <w:lang w:val="en-US"/>
        </w:rPr>
        <w:fldChar w:fldCharType="separate"/>
      </w:r>
      <w:r w:rsidR="00EA634B">
        <w:rPr>
          <w:rStyle w:val="normaltextrun1"/>
          <w:bCs/>
          <w:noProof/>
          <w:sz w:val="22"/>
          <w:lang w:val="en-US"/>
        </w:rPr>
        <w:t>(Sarcol, Coutinho, Maguire, Collins, &amp; Jolliffe, 2024)</w:t>
      </w:r>
      <w:r w:rsidR="00EA634B">
        <w:rPr>
          <w:rStyle w:val="normaltextrun1"/>
          <w:bCs/>
          <w:sz w:val="22"/>
          <w:lang w:val="en-US"/>
        </w:rPr>
        <w:fldChar w:fldCharType="end"/>
      </w:r>
    </w:p>
    <w:p w14:paraId="62A71A14" w14:textId="7B7D651D" w:rsidR="005F1F22" w:rsidRPr="00F675C7" w:rsidRDefault="005F1F22" w:rsidP="009B05A2">
      <w:pPr>
        <w:spacing w:line="276" w:lineRule="auto"/>
        <w:rPr>
          <w:sz w:val="22"/>
        </w:rPr>
      </w:pPr>
      <w:r w:rsidRPr="00F675C7">
        <w:rPr>
          <w:rStyle w:val="normaltextrun1"/>
          <w:bCs/>
          <w:sz w:val="22"/>
          <w:lang w:val="en-US"/>
        </w:rPr>
        <w:t>Another example is when</w:t>
      </w:r>
      <w:r w:rsidR="00D65ABA">
        <w:rPr>
          <w:rStyle w:val="normaltextrun1"/>
          <w:bCs/>
          <w:sz w:val="22"/>
          <w:lang w:val="en-US"/>
        </w:rPr>
        <w:t>, in 2022, Amey (employer of 14,000 staff), after building a fabulous relationship with Placement Student Unit (PSU),</w:t>
      </w:r>
      <w:r w:rsidR="001F55C0" w:rsidRPr="00F675C7">
        <w:rPr>
          <w:sz w:val="22"/>
        </w:rPr>
        <w:t xml:space="preserve"> offered two of our HR students’ yearlong placements. However</w:t>
      </w:r>
      <w:r w:rsidRPr="00F675C7">
        <w:rPr>
          <w:sz w:val="22"/>
        </w:rPr>
        <w:t xml:space="preserve">, one declined. They asked us to recommend further students. Our HR team and the PSNG group spread the word about the opportunity. PSU and </w:t>
      </w:r>
      <w:r w:rsidR="001F55C0" w:rsidRPr="00F675C7">
        <w:rPr>
          <w:sz w:val="22"/>
        </w:rPr>
        <w:t>I</w:t>
      </w:r>
      <w:r w:rsidRPr="00F675C7">
        <w:rPr>
          <w:sz w:val="22"/>
        </w:rPr>
        <w:t xml:space="preserve"> offered them targeted support. Also, the student who had been successful shared their application. We recommended four students: Level 5 HRM</w:t>
      </w:r>
      <w:r w:rsidR="001F55C0" w:rsidRPr="00F675C7">
        <w:rPr>
          <w:sz w:val="22"/>
        </w:rPr>
        <w:t>, Level 6 HRM,</w:t>
      </w:r>
      <w:r w:rsidRPr="00F675C7">
        <w:rPr>
          <w:sz w:val="22"/>
        </w:rPr>
        <w:t xml:space="preserve"> </w:t>
      </w:r>
      <w:r w:rsidR="001F55C0" w:rsidRPr="00F675C7">
        <w:rPr>
          <w:sz w:val="22"/>
        </w:rPr>
        <w:t xml:space="preserve">and </w:t>
      </w:r>
      <w:r w:rsidRPr="00F675C7">
        <w:rPr>
          <w:sz w:val="22"/>
        </w:rPr>
        <w:t>Two F/T Masters. Amey</w:t>
      </w:r>
      <w:r w:rsidR="001F55C0" w:rsidRPr="00F675C7">
        <w:rPr>
          <w:sz w:val="22"/>
        </w:rPr>
        <w:t xml:space="preserve"> unexpectedly</w:t>
      </w:r>
      <w:r w:rsidRPr="00F675C7">
        <w:rPr>
          <w:sz w:val="22"/>
        </w:rPr>
        <w:t xml:space="preserve"> offered one student the placement and the other three Graduate positions with excellent starting salaries (£21k to £25k). </w:t>
      </w:r>
      <w:r w:rsidR="001F55C0" w:rsidRPr="00F675C7">
        <w:rPr>
          <w:sz w:val="22"/>
        </w:rPr>
        <w:t>Several students ha</w:t>
      </w:r>
      <w:r w:rsidR="001864DF">
        <w:rPr>
          <w:sz w:val="22"/>
        </w:rPr>
        <w:t>d</w:t>
      </w:r>
      <w:r w:rsidR="001F55C0" w:rsidRPr="00F675C7">
        <w:rPr>
          <w:sz w:val="22"/>
        </w:rPr>
        <w:t xml:space="preserve"> no HR experience and</w:t>
      </w:r>
      <w:r w:rsidRPr="00F675C7">
        <w:rPr>
          <w:sz w:val="22"/>
        </w:rPr>
        <w:t xml:space="preserve"> are delighted to have secured this excellent local </w:t>
      </w:r>
      <w:r w:rsidR="001F55C0" w:rsidRPr="00F675C7">
        <w:rPr>
          <w:sz w:val="22"/>
        </w:rPr>
        <w:t>opportunity. Since</w:t>
      </w:r>
      <w:r w:rsidRPr="00F675C7">
        <w:rPr>
          <w:sz w:val="22"/>
        </w:rPr>
        <w:t xml:space="preserve"> then</w:t>
      </w:r>
      <w:r w:rsidR="001F55C0" w:rsidRPr="00F675C7">
        <w:rPr>
          <w:sz w:val="22"/>
        </w:rPr>
        <w:t>, Amey has offered other LJMU students part-time</w:t>
      </w:r>
      <w:r w:rsidR="003079E0" w:rsidRPr="00F675C7">
        <w:rPr>
          <w:sz w:val="22"/>
        </w:rPr>
        <w:t xml:space="preserve"> work alongside their studies.</w:t>
      </w:r>
    </w:p>
    <w:p w14:paraId="676AD83E" w14:textId="6372DEE8" w:rsidR="00477D04" w:rsidRPr="00F675C7" w:rsidRDefault="00C62749" w:rsidP="009B05A2">
      <w:pPr>
        <w:spacing w:line="276" w:lineRule="auto"/>
        <w:rPr>
          <w:i/>
          <w:iCs/>
          <w:sz w:val="22"/>
        </w:rPr>
      </w:pPr>
      <w:r w:rsidRPr="00F675C7">
        <w:rPr>
          <w:b/>
          <w:bCs/>
          <w:sz w:val="22"/>
        </w:rPr>
        <w:t xml:space="preserve">Broader Change </w:t>
      </w:r>
    </w:p>
    <w:p w14:paraId="19DAFBFB" w14:textId="1209A772" w:rsidR="00477D04" w:rsidRPr="00F675C7" w:rsidRDefault="00477D04" w:rsidP="009B05A2">
      <w:pPr>
        <w:spacing w:after="0" w:line="276" w:lineRule="auto"/>
        <w:rPr>
          <w:rFonts w:eastAsia="Times New Roman"/>
          <w:color w:val="2B2B2B"/>
          <w:sz w:val="22"/>
        </w:rPr>
      </w:pPr>
      <w:r w:rsidRPr="00F675C7">
        <w:rPr>
          <w:rFonts w:eastAsia="Times New Roman"/>
          <w:color w:val="2B2B2B"/>
          <w:sz w:val="22"/>
        </w:rPr>
        <w:t xml:space="preserve">The overall student experience </w:t>
      </w:r>
      <w:r w:rsidR="001F55C0" w:rsidRPr="00F675C7">
        <w:rPr>
          <w:rFonts w:eastAsia="Times New Roman"/>
          <w:color w:val="2B2B2B"/>
          <w:sz w:val="22"/>
        </w:rPr>
        <w:t>at PSNG has been extremely positive. Students gain from internal networking across the HR programmes and external networking</w:t>
      </w:r>
      <w:r w:rsidRPr="00F675C7">
        <w:rPr>
          <w:rFonts w:eastAsia="Times New Roman"/>
          <w:color w:val="2B2B2B"/>
          <w:sz w:val="22"/>
        </w:rPr>
        <w:t xml:space="preserve"> with HR practitioners. </w:t>
      </w:r>
      <w:r w:rsidR="007249AA">
        <w:rPr>
          <w:rFonts w:eastAsia="Times New Roman"/>
          <w:color w:val="2B2B2B"/>
          <w:sz w:val="22"/>
        </w:rPr>
        <w:t xml:space="preserve">Furthermore, we can see the benefit to student on their employability outcomes. </w:t>
      </w:r>
    </w:p>
    <w:p w14:paraId="010196F7" w14:textId="77777777" w:rsidR="00477D04" w:rsidRPr="00F675C7" w:rsidRDefault="00477D04" w:rsidP="00477D04">
      <w:pPr>
        <w:spacing w:after="0" w:line="360" w:lineRule="auto"/>
        <w:rPr>
          <w:sz w:val="22"/>
        </w:rPr>
      </w:pPr>
    </w:p>
    <w:p w14:paraId="250C174A" w14:textId="13109A2E" w:rsidR="00477D04" w:rsidRPr="00F675C7" w:rsidRDefault="00477D04" w:rsidP="009B05A2">
      <w:pPr>
        <w:spacing w:after="0" w:line="276" w:lineRule="auto"/>
        <w:rPr>
          <w:sz w:val="22"/>
        </w:rPr>
      </w:pPr>
      <w:r w:rsidRPr="009B05A2">
        <w:rPr>
          <w:b/>
          <w:bCs/>
          <w:sz w:val="22"/>
        </w:rPr>
        <w:t>Table 1</w:t>
      </w:r>
      <w:r w:rsidRPr="00F675C7">
        <w:rPr>
          <w:sz w:val="22"/>
        </w:rPr>
        <w:t xml:space="preserve"> shows the </w:t>
      </w:r>
      <w:r w:rsidR="002E6196" w:rsidRPr="00F675C7">
        <w:rPr>
          <w:sz w:val="22"/>
        </w:rPr>
        <w:t>employment secured</w:t>
      </w:r>
      <w:r w:rsidRPr="00F675C7">
        <w:rPr>
          <w:sz w:val="22"/>
        </w:rPr>
        <w:t xml:space="preserve"> for level 5 and 6 undergraduate PSNG members from 2015-20</w:t>
      </w:r>
      <w:r w:rsidR="002E6196" w:rsidRPr="00F675C7">
        <w:rPr>
          <w:sz w:val="22"/>
        </w:rPr>
        <w:t>20</w:t>
      </w:r>
      <w:r w:rsidR="00147BE2" w:rsidRPr="00F675C7">
        <w:rPr>
          <w:sz w:val="22"/>
        </w:rPr>
        <w:t xml:space="preserve"> and the overall graduate outcomes data.</w:t>
      </w:r>
      <w:r w:rsidR="00DA1D19" w:rsidRPr="00F675C7">
        <w:rPr>
          <w:sz w:val="22"/>
        </w:rPr>
        <w:t xml:space="preserve"> </w:t>
      </w:r>
    </w:p>
    <w:p w14:paraId="17BD6240" w14:textId="77777777" w:rsidR="0036166B" w:rsidRPr="00F675C7" w:rsidRDefault="0036166B" w:rsidP="00477D04">
      <w:pPr>
        <w:spacing w:after="0"/>
        <w:rPr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3114"/>
        <w:gridCol w:w="3481"/>
      </w:tblGrid>
      <w:tr w:rsidR="00301AF5" w:rsidRPr="00F675C7" w14:paraId="73198BDA" w14:textId="649011AC" w:rsidTr="009B05A2">
        <w:trPr>
          <w:trHeight w:val="506"/>
        </w:trPr>
        <w:tc>
          <w:tcPr>
            <w:tcW w:w="0" w:type="auto"/>
          </w:tcPr>
          <w:p w14:paraId="2CF13C77" w14:textId="77777777" w:rsidR="00301AF5" w:rsidRPr="009B05A2" w:rsidRDefault="00301AF5" w:rsidP="00477D0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9B05A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lastRenderedPageBreak/>
              <w:t>Year</w:t>
            </w:r>
          </w:p>
        </w:tc>
        <w:tc>
          <w:tcPr>
            <w:tcW w:w="0" w:type="auto"/>
          </w:tcPr>
          <w:p w14:paraId="3DA9669D" w14:textId="77777777" w:rsidR="00301AF5" w:rsidRPr="009B05A2" w:rsidRDefault="00301AF5" w:rsidP="00477D0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9B05A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Level 5 Internships secured</w:t>
            </w:r>
          </w:p>
        </w:tc>
        <w:tc>
          <w:tcPr>
            <w:tcW w:w="0" w:type="auto"/>
          </w:tcPr>
          <w:p w14:paraId="26D27685" w14:textId="66959FC9" w:rsidR="00301AF5" w:rsidRPr="009B05A2" w:rsidRDefault="00301AF5" w:rsidP="00477D04"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9B05A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Level 6 Graduate role</w:t>
            </w:r>
            <w:r w:rsidR="009B05A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s</w:t>
            </w:r>
            <w:r w:rsidRPr="009B05A2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secured</w:t>
            </w:r>
          </w:p>
        </w:tc>
      </w:tr>
      <w:tr w:rsidR="00301AF5" w:rsidRPr="00F675C7" w14:paraId="5ADE2CBA" w14:textId="137E61AC" w:rsidTr="009B05A2">
        <w:trPr>
          <w:trHeight w:val="506"/>
        </w:trPr>
        <w:tc>
          <w:tcPr>
            <w:tcW w:w="0" w:type="auto"/>
          </w:tcPr>
          <w:p w14:paraId="36172B99" w14:textId="77777777" w:rsidR="00301AF5" w:rsidRPr="00F675C7" w:rsidRDefault="00301AF5" w:rsidP="00477D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675C7">
              <w:rPr>
                <w:rFonts w:ascii="Arial" w:hAnsi="Arial" w:cs="Arial"/>
                <w:sz w:val="22"/>
                <w:szCs w:val="22"/>
                <w:lang w:val="en-US" w:eastAsia="en-US"/>
              </w:rPr>
              <w:t>2015-2016</w:t>
            </w:r>
          </w:p>
        </w:tc>
        <w:tc>
          <w:tcPr>
            <w:tcW w:w="0" w:type="auto"/>
          </w:tcPr>
          <w:p w14:paraId="31F05ABC" w14:textId="77777777" w:rsidR="00301AF5" w:rsidRPr="00F675C7" w:rsidRDefault="00301AF5" w:rsidP="00477D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675C7">
              <w:rPr>
                <w:rFonts w:ascii="Arial" w:hAnsi="Arial" w:cs="Arial"/>
                <w:sz w:val="22"/>
                <w:szCs w:val="22"/>
                <w:lang w:val="en-US"/>
              </w:rPr>
              <w:t>100%</w:t>
            </w:r>
          </w:p>
        </w:tc>
        <w:tc>
          <w:tcPr>
            <w:tcW w:w="0" w:type="auto"/>
          </w:tcPr>
          <w:p w14:paraId="6CD5A314" w14:textId="77777777" w:rsidR="00301AF5" w:rsidRPr="00F675C7" w:rsidRDefault="00301AF5" w:rsidP="00477D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675C7">
              <w:rPr>
                <w:rFonts w:ascii="Arial" w:hAnsi="Arial" w:cs="Arial"/>
                <w:sz w:val="22"/>
                <w:szCs w:val="22"/>
                <w:lang w:val="en-US"/>
              </w:rPr>
              <w:t>75%</w:t>
            </w:r>
          </w:p>
        </w:tc>
      </w:tr>
      <w:tr w:rsidR="00301AF5" w:rsidRPr="00F675C7" w14:paraId="284800E7" w14:textId="66A82667" w:rsidTr="009B05A2">
        <w:trPr>
          <w:trHeight w:val="506"/>
        </w:trPr>
        <w:tc>
          <w:tcPr>
            <w:tcW w:w="0" w:type="auto"/>
          </w:tcPr>
          <w:p w14:paraId="1866BC28" w14:textId="77777777" w:rsidR="00301AF5" w:rsidRPr="00F675C7" w:rsidRDefault="00301AF5" w:rsidP="00477D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675C7">
              <w:rPr>
                <w:rFonts w:ascii="Arial" w:hAnsi="Arial" w:cs="Arial"/>
                <w:sz w:val="22"/>
                <w:szCs w:val="22"/>
                <w:lang w:val="en-US" w:eastAsia="en-US"/>
              </w:rPr>
              <w:t>2016-2017</w:t>
            </w:r>
          </w:p>
        </w:tc>
        <w:tc>
          <w:tcPr>
            <w:tcW w:w="0" w:type="auto"/>
          </w:tcPr>
          <w:p w14:paraId="384D032E" w14:textId="77777777" w:rsidR="00301AF5" w:rsidRPr="00F675C7" w:rsidRDefault="00301AF5" w:rsidP="00477D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675C7">
              <w:rPr>
                <w:rFonts w:ascii="Arial" w:hAnsi="Arial" w:cs="Arial"/>
                <w:sz w:val="22"/>
                <w:szCs w:val="22"/>
                <w:lang w:val="en-US"/>
              </w:rPr>
              <w:t>67%</w:t>
            </w:r>
          </w:p>
        </w:tc>
        <w:tc>
          <w:tcPr>
            <w:tcW w:w="0" w:type="auto"/>
          </w:tcPr>
          <w:p w14:paraId="7D7FBB79" w14:textId="77777777" w:rsidR="00301AF5" w:rsidRPr="00F675C7" w:rsidRDefault="00301AF5" w:rsidP="00477D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675C7">
              <w:rPr>
                <w:rFonts w:ascii="Arial" w:hAnsi="Arial" w:cs="Arial"/>
                <w:sz w:val="22"/>
                <w:szCs w:val="22"/>
                <w:lang w:val="en-US"/>
              </w:rPr>
              <w:t>100%</w:t>
            </w:r>
          </w:p>
        </w:tc>
      </w:tr>
      <w:tr w:rsidR="00301AF5" w:rsidRPr="00F675C7" w14:paraId="7BF9A13E" w14:textId="1EBDBE58" w:rsidTr="009B05A2">
        <w:trPr>
          <w:trHeight w:val="506"/>
        </w:trPr>
        <w:tc>
          <w:tcPr>
            <w:tcW w:w="0" w:type="auto"/>
          </w:tcPr>
          <w:p w14:paraId="6D575FC7" w14:textId="77777777" w:rsidR="00301AF5" w:rsidRPr="00F675C7" w:rsidRDefault="00301AF5" w:rsidP="00477D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675C7">
              <w:rPr>
                <w:rFonts w:ascii="Arial" w:hAnsi="Arial" w:cs="Arial"/>
                <w:sz w:val="22"/>
                <w:szCs w:val="22"/>
                <w:lang w:val="en-US" w:eastAsia="en-US"/>
              </w:rPr>
              <w:t>2017-2018</w:t>
            </w:r>
          </w:p>
        </w:tc>
        <w:tc>
          <w:tcPr>
            <w:tcW w:w="0" w:type="auto"/>
          </w:tcPr>
          <w:p w14:paraId="4C024888" w14:textId="77777777" w:rsidR="00301AF5" w:rsidRPr="00F675C7" w:rsidRDefault="00301AF5" w:rsidP="00477D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675C7">
              <w:rPr>
                <w:rFonts w:ascii="Arial" w:hAnsi="Arial" w:cs="Arial"/>
                <w:sz w:val="22"/>
                <w:szCs w:val="22"/>
                <w:lang w:val="en-US" w:eastAsia="en-US"/>
              </w:rPr>
              <w:t>100%</w:t>
            </w:r>
          </w:p>
        </w:tc>
        <w:tc>
          <w:tcPr>
            <w:tcW w:w="0" w:type="auto"/>
          </w:tcPr>
          <w:p w14:paraId="0EA57156" w14:textId="02F25D64" w:rsidR="00301AF5" w:rsidRPr="00F675C7" w:rsidRDefault="00301AF5" w:rsidP="00477D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675C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data</w:t>
            </w:r>
            <w:r w:rsidR="005176C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as no level 6 member</w:t>
            </w:r>
          </w:p>
        </w:tc>
      </w:tr>
      <w:tr w:rsidR="00301AF5" w:rsidRPr="00F675C7" w14:paraId="6E8CA6A1" w14:textId="758F3FE0" w:rsidTr="009B05A2">
        <w:trPr>
          <w:trHeight w:val="506"/>
        </w:trPr>
        <w:tc>
          <w:tcPr>
            <w:tcW w:w="0" w:type="auto"/>
          </w:tcPr>
          <w:p w14:paraId="32ABBFC9" w14:textId="26CB8868" w:rsidR="00301AF5" w:rsidRPr="00F675C7" w:rsidRDefault="00301AF5" w:rsidP="00477D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675C7">
              <w:rPr>
                <w:rFonts w:ascii="Arial" w:hAnsi="Arial" w:cs="Arial"/>
                <w:sz w:val="22"/>
                <w:szCs w:val="22"/>
                <w:lang w:val="en-US" w:eastAsia="en-US"/>
              </w:rPr>
              <w:t>2018-2019</w:t>
            </w:r>
          </w:p>
        </w:tc>
        <w:tc>
          <w:tcPr>
            <w:tcW w:w="0" w:type="auto"/>
          </w:tcPr>
          <w:p w14:paraId="01E94A08" w14:textId="77777777" w:rsidR="00301AF5" w:rsidRPr="00F675C7" w:rsidRDefault="00301AF5" w:rsidP="00477D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675C7">
              <w:rPr>
                <w:rFonts w:ascii="Arial" w:hAnsi="Arial" w:cs="Arial"/>
                <w:sz w:val="22"/>
                <w:szCs w:val="22"/>
                <w:lang w:val="en-US"/>
              </w:rPr>
              <w:t>100%</w:t>
            </w:r>
          </w:p>
        </w:tc>
        <w:tc>
          <w:tcPr>
            <w:tcW w:w="0" w:type="auto"/>
          </w:tcPr>
          <w:p w14:paraId="6DC9B75F" w14:textId="77777777" w:rsidR="00301AF5" w:rsidRPr="00F675C7" w:rsidRDefault="00301AF5" w:rsidP="00477D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675C7">
              <w:rPr>
                <w:rFonts w:ascii="Arial" w:hAnsi="Arial" w:cs="Arial"/>
                <w:sz w:val="22"/>
                <w:szCs w:val="22"/>
                <w:lang w:val="en-US"/>
              </w:rPr>
              <w:t>100%</w:t>
            </w:r>
          </w:p>
        </w:tc>
      </w:tr>
      <w:tr w:rsidR="00301AF5" w:rsidRPr="00F675C7" w14:paraId="750BB41B" w14:textId="793BBB4F" w:rsidTr="009B05A2">
        <w:trPr>
          <w:trHeight w:val="506"/>
        </w:trPr>
        <w:tc>
          <w:tcPr>
            <w:tcW w:w="0" w:type="auto"/>
          </w:tcPr>
          <w:p w14:paraId="24E16DA5" w14:textId="77777777" w:rsidR="00301AF5" w:rsidRPr="00F675C7" w:rsidRDefault="00301AF5" w:rsidP="00477D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675C7">
              <w:rPr>
                <w:rFonts w:ascii="Arial" w:hAnsi="Arial" w:cs="Arial"/>
                <w:sz w:val="22"/>
                <w:szCs w:val="22"/>
                <w:lang w:val="en-US" w:eastAsia="en-US"/>
              </w:rPr>
              <w:t>2019-2020</w:t>
            </w:r>
          </w:p>
        </w:tc>
        <w:tc>
          <w:tcPr>
            <w:tcW w:w="0" w:type="auto"/>
          </w:tcPr>
          <w:p w14:paraId="77380FDB" w14:textId="77777777" w:rsidR="00301AF5" w:rsidRPr="00F675C7" w:rsidRDefault="00301AF5" w:rsidP="00477D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675C7">
              <w:rPr>
                <w:rFonts w:ascii="Arial" w:hAnsi="Arial" w:cs="Arial"/>
                <w:sz w:val="22"/>
                <w:szCs w:val="22"/>
                <w:lang w:val="en-US"/>
              </w:rPr>
              <w:t>100%</w:t>
            </w:r>
          </w:p>
        </w:tc>
        <w:tc>
          <w:tcPr>
            <w:tcW w:w="0" w:type="auto"/>
          </w:tcPr>
          <w:p w14:paraId="3CC53840" w14:textId="77777777" w:rsidR="00301AF5" w:rsidRPr="00F675C7" w:rsidRDefault="00301AF5" w:rsidP="00477D04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675C7">
              <w:rPr>
                <w:rFonts w:ascii="Arial" w:hAnsi="Arial" w:cs="Arial"/>
                <w:sz w:val="22"/>
                <w:szCs w:val="22"/>
                <w:lang w:val="en-US"/>
              </w:rPr>
              <w:t>100%</w:t>
            </w:r>
          </w:p>
        </w:tc>
      </w:tr>
    </w:tbl>
    <w:p w14:paraId="3EE8D0CA" w14:textId="77777777" w:rsidR="00477D04" w:rsidRPr="00F675C7" w:rsidRDefault="00477D04" w:rsidP="00477D04">
      <w:pPr>
        <w:spacing w:after="0" w:line="360" w:lineRule="auto"/>
        <w:rPr>
          <w:sz w:val="22"/>
        </w:rPr>
      </w:pPr>
    </w:p>
    <w:p w14:paraId="049EBE10" w14:textId="497B135E" w:rsidR="00477D04" w:rsidRPr="00F675C7" w:rsidRDefault="00301AF5" w:rsidP="009B05A2">
      <w:pPr>
        <w:spacing w:after="0" w:line="276" w:lineRule="auto"/>
        <w:rPr>
          <w:rFonts w:eastAsia="Times New Roman"/>
          <w:color w:val="2B2B2B"/>
          <w:sz w:val="22"/>
        </w:rPr>
      </w:pPr>
      <w:r>
        <w:rPr>
          <w:rFonts w:eastAsia="Times New Roman"/>
          <w:color w:val="2B2B2B"/>
          <w:sz w:val="22"/>
        </w:rPr>
        <w:t xml:space="preserve">In 2018-19 the HSE LJMU HRM Average graduate outcome was 66.7 and HSE Leavers Average 69.2. Whilst in 2019-2020 the HSE LJMU HRM Average was 72.7 and HSE Leavers Average 70.5. </w:t>
      </w:r>
      <w:r w:rsidR="00477D04" w:rsidRPr="00F675C7">
        <w:rPr>
          <w:rFonts w:eastAsia="Times New Roman"/>
          <w:color w:val="2B2B2B"/>
          <w:sz w:val="22"/>
        </w:rPr>
        <w:t>Furthermore, the</w:t>
      </w:r>
      <w:r w:rsidR="001864DF">
        <w:rPr>
          <w:rFonts w:eastAsia="Times New Roman"/>
          <w:color w:val="2B2B2B"/>
          <w:sz w:val="22"/>
        </w:rPr>
        <w:t xml:space="preserve"> students</w:t>
      </w:r>
      <w:r w:rsidR="00477D04" w:rsidRPr="00F675C7">
        <w:rPr>
          <w:rFonts w:eastAsia="Times New Roman"/>
          <w:color w:val="2B2B2B"/>
          <w:sz w:val="22"/>
        </w:rPr>
        <w:t xml:space="preserve"> develop close bonds with the academic staff. These points are illustrated in the student feedback:</w:t>
      </w:r>
    </w:p>
    <w:p w14:paraId="646D3E90" w14:textId="77777777" w:rsidR="00147BE2" w:rsidRPr="00F675C7" w:rsidRDefault="00147BE2" w:rsidP="009B05A2">
      <w:pPr>
        <w:spacing w:after="0" w:line="276" w:lineRule="auto"/>
        <w:rPr>
          <w:rFonts w:eastAsia="Times New Roman"/>
          <w:color w:val="2B2B2B"/>
          <w:sz w:val="22"/>
        </w:rPr>
      </w:pPr>
    </w:p>
    <w:p w14:paraId="58EE15C5" w14:textId="66E08DA2" w:rsidR="00477D04" w:rsidRPr="00F675C7" w:rsidRDefault="00477D04" w:rsidP="009B05A2">
      <w:pPr>
        <w:spacing w:after="0" w:line="276" w:lineRule="auto"/>
        <w:rPr>
          <w:rFonts w:eastAsia="Times New Roman"/>
          <w:color w:val="2B2B2B"/>
          <w:sz w:val="22"/>
        </w:rPr>
      </w:pPr>
      <w:r w:rsidRPr="00F675C7">
        <w:rPr>
          <w:rFonts w:eastAsia="Times New Roman"/>
          <w:color w:val="2B2B2B"/>
          <w:sz w:val="22"/>
        </w:rPr>
        <w:t>‘I got more out of it than I thought I would (laughs)</w:t>
      </w:r>
      <w:r w:rsidR="00F675C7" w:rsidRPr="00F675C7">
        <w:rPr>
          <w:rFonts w:eastAsia="Times New Roman"/>
          <w:color w:val="2B2B2B"/>
          <w:sz w:val="22"/>
        </w:rPr>
        <w:t>,</w:t>
      </w:r>
      <w:r w:rsidRPr="00F675C7">
        <w:rPr>
          <w:rFonts w:eastAsia="Times New Roman"/>
          <w:color w:val="2B2B2B"/>
          <w:sz w:val="22"/>
        </w:rPr>
        <w:t xml:space="preserve"> which is great. I think I met more people than I thought I would </w:t>
      </w:r>
      <w:proofErr w:type="gramStart"/>
      <w:r w:rsidRPr="00F675C7">
        <w:rPr>
          <w:rFonts w:eastAsia="Times New Roman"/>
          <w:color w:val="2B2B2B"/>
          <w:sz w:val="22"/>
        </w:rPr>
        <w:t>–‘ Hiba</w:t>
      </w:r>
      <w:proofErr w:type="gramEnd"/>
      <w:r w:rsidRPr="00F675C7">
        <w:rPr>
          <w:rFonts w:eastAsia="Times New Roman"/>
          <w:color w:val="2B2B2B"/>
          <w:sz w:val="22"/>
        </w:rPr>
        <w:t xml:space="preserve"> </w:t>
      </w:r>
    </w:p>
    <w:p w14:paraId="5876AB2E" w14:textId="77777777" w:rsidR="00147BE2" w:rsidRPr="00F675C7" w:rsidRDefault="00147BE2" w:rsidP="009B05A2">
      <w:pPr>
        <w:spacing w:after="0" w:line="276" w:lineRule="auto"/>
        <w:rPr>
          <w:rFonts w:eastAsia="Times New Roman"/>
          <w:color w:val="2B2B2B"/>
          <w:sz w:val="22"/>
        </w:rPr>
      </w:pPr>
    </w:p>
    <w:p w14:paraId="0B2C37DD" w14:textId="5C454334" w:rsidR="00477D04" w:rsidRPr="00F675C7" w:rsidRDefault="00477D04" w:rsidP="009B05A2">
      <w:pPr>
        <w:spacing w:after="0" w:line="276" w:lineRule="auto"/>
        <w:rPr>
          <w:sz w:val="22"/>
        </w:rPr>
      </w:pPr>
      <w:r w:rsidRPr="00F675C7">
        <w:rPr>
          <w:sz w:val="22"/>
        </w:rPr>
        <w:t>‘Yeah</w:t>
      </w:r>
      <w:r w:rsidR="00F675C7" w:rsidRPr="00F675C7">
        <w:rPr>
          <w:sz w:val="22"/>
        </w:rPr>
        <w:t>, and my title on LinkedIn is obviously C</w:t>
      </w:r>
      <w:r w:rsidR="005176C2">
        <w:rPr>
          <w:sz w:val="22"/>
        </w:rPr>
        <w:t xml:space="preserve">hartered </w:t>
      </w:r>
      <w:r w:rsidR="00F675C7" w:rsidRPr="00F675C7">
        <w:rPr>
          <w:sz w:val="22"/>
        </w:rPr>
        <w:t>I</w:t>
      </w:r>
      <w:r w:rsidR="005176C2">
        <w:rPr>
          <w:sz w:val="22"/>
        </w:rPr>
        <w:t xml:space="preserve">nstitute of Personnel and </w:t>
      </w:r>
      <w:r w:rsidR="00F675C7" w:rsidRPr="00F675C7">
        <w:rPr>
          <w:sz w:val="22"/>
        </w:rPr>
        <w:t>D</w:t>
      </w:r>
      <w:r w:rsidR="005176C2">
        <w:rPr>
          <w:sz w:val="22"/>
        </w:rPr>
        <w:t>evelopment (CIPD)</w:t>
      </w:r>
      <w:r w:rsidR="00F675C7" w:rsidRPr="00F675C7">
        <w:rPr>
          <w:sz w:val="22"/>
        </w:rPr>
        <w:t xml:space="preserve"> Co-ordinator, so at the interview,</w:t>
      </w:r>
      <w:r w:rsidRPr="00F675C7">
        <w:rPr>
          <w:sz w:val="22"/>
        </w:rPr>
        <w:t xml:space="preserve"> they asked me what that role consisted of.’ </w:t>
      </w:r>
      <w:proofErr w:type="spellStart"/>
      <w:r w:rsidRPr="00F675C7">
        <w:rPr>
          <w:sz w:val="22"/>
        </w:rPr>
        <w:t>Bronagh</w:t>
      </w:r>
      <w:proofErr w:type="spellEnd"/>
    </w:p>
    <w:p w14:paraId="44A072DE" w14:textId="77777777" w:rsidR="00252730" w:rsidRPr="00F675C7" w:rsidRDefault="00252730" w:rsidP="00477D04">
      <w:pPr>
        <w:spacing w:after="0"/>
        <w:rPr>
          <w:sz w:val="22"/>
        </w:rPr>
      </w:pPr>
    </w:p>
    <w:p w14:paraId="39F8F83E" w14:textId="5BDD6ABB" w:rsidR="00252730" w:rsidRPr="00F675C7" w:rsidRDefault="00252730" w:rsidP="00477D04">
      <w:pPr>
        <w:spacing w:after="0"/>
        <w:rPr>
          <w:sz w:val="22"/>
        </w:rPr>
      </w:pPr>
      <w:r w:rsidRPr="00F675C7">
        <w:rPr>
          <w:rFonts w:eastAsia="Times New Roman"/>
          <w:noProof/>
          <w:sz w:val="22"/>
        </w:rPr>
        <w:drawing>
          <wp:inline distT="0" distB="0" distL="0" distR="0" wp14:anchorId="375D48F1" wp14:editId="64CC7A7D">
            <wp:extent cx="5731510" cy="4137660"/>
            <wp:effectExtent l="0" t="0" r="2540" b="0"/>
            <wp:docPr id="37954934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54934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7DE4B" w14:textId="3C7981DE" w:rsidR="00477D04" w:rsidRPr="00F675C7" w:rsidRDefault="00885B39" w:rsidP="009B05A2">
      <w:pPr>
        <w:spacing w:after="0" w:line="276" w:lineRule="auto"/>
        <w:rPr>
          <w:sz w:val="22"/>
          <w:lang w:val="en-US"/>
        </w:rPr>
      </w:pPr>
      <w:r w:rsidRPr="00F675C7">
        <w:rPr>
          <w:sz w:val="22"/>
          <w:lang w:val="en-US"/>
        </w:rPr>
        <w:lastRenderedPageBreak/>
        <w:t>ACERT Conference 2023</w:t>
      </w:r>
      <w:r w:rsidR="000E79D2" w:rsidRPr="00F675C7">
        <w:rPr>
          <w:sz w:val="22"/>
          <w:lang w:val="en-US"/>
        </w:rPr>
        <w:t xml:space="preserve"> Dr Tricia Jolliffe with Nicole </w:t>
      </w:r>
      <w:r w:rsidR="0071198E" w:rsidRPr="00F675C7">
        <w:rPr>
          <w:sz w:val="22"/>
          <w:lang w:val="en-US"/>
        </w:rPr>
        <w:t xml:space="preserve">Richardson </w:t>
      </w:r>
      <w:r w:rsidR="000E79D2" w:rsidRPr="00F675C7">
        <w:rPr>
          <w:sz w:val="22"/>
          <w:lang w:val="en-US"/>
        </w:rPr>
        <w:t xml:space="preserve">and </w:t>
      </w:r>
      <w:proofErr w:type="spellStart"/>
      <w:r w:rsidR="000E79D2" w:rsidRPr="00F675C7">
        <w:rPr>
          <w:sz w:val="22"/>
          <w:lang w:val="en-US"/>
        </w:rPr>
        <w:t>Ob</w:t>
      </w:r>
      <w:r w:rsidR="00875F3D" w:rsidRPr="00F675C7">
        <w:rPr>
          <w:sz w:val="22"/>
          <w:lang w:val="en-US"/>
        </w:rPr>
        <w:t>ianuju</w:t>
      </w:r>
      <w:proofErr w:type="spellEnd"/>
      <w:r w:rsidR="00875F3D" w:rsidRPr="00F675C7">
        <w:rPr>
          <w:sz w:val="22"/>
          <w:lang w:val="en-US"/>
        </w:rPr>
        <w:t xml:space="preserve"> </w:t>
      </w:r>
      <w:proofErr w:type="spellStart"/>
      <w:r w:rsidR="00875F3D" w:rsidRPr="00F675C7">
        <w:rPr>
          <w:sz w:val="22"/>
          <w:lang w:val="en-US"/>
        </w:rPr>
        <w:t>Obiagwu</w:t>
      </w:r>
      <w:proofErr w:type="spellEnd"/>
      <w:r w:rsidR="00875F3D" w:rsidRPr="00F675C7">
        <w:rPr>
          <w:sz w:val="22"/>
          <w:lang w:val="en-US"/>
        </w:rPr>
        <w:t xml:space="preserve"> </w:t>
      </w:r>
      <w:r w:rsidR="000E79D2" w:rsidRPr="00F675C7">
        <w:rPr>
          <w:sz w:val="22"/>
          <w:lang w:val="en-US"/>
        </w:rPr>
        <w:t>(PSNG members)</w:t>
      </w:r>
    </w:p>
    <w:p w14:paraId="0DA7EE75" w14:textId="77777777" w:rsidR="00885B39" w:rsidRPr="00F675C7" w:rsidRDefault="00885B39" w:rsidP="00477D04">
      <w:pPr>
        <w:spacing w:after="0" w:line="360" w:lineRule="auto"/>
        <w:rPr>
          <w:sz w:val="22"/>
        </w:rPr>
      </w:pPr>
    </w:p>
    <w:p w14:paraId="36D9035B" w14:textId="0A5A2088" w:rsidR="00885B39" w:rsidRPr="00F675C7" w:rsidRDefault="00885B39" w:rsidP="00477D04">
      <w:pPr>
        <w:spacing w:after="0" w:line="360" w:lineRule="auto"/>
        <w:rPr>
          <w:sz w:val="22"/>
        </w:rPr>
      </w:pPr>
      <w:r w:rsidRPr="00F675C7">
        <w:rPr>
          <w:rFonts w:eastAsia="Times New Roman"/>
          <w:noProof/>
          <w:sz w:val="22"/>
        </w:rPr>
        <w:drawing>
          <wp:inline distT="0" distB="0" distL="0" distR="0" wp14:anchorId="42063599" wp14:editId="4795E50D">
            <wp:extent cx="5731510" cy="4298950"/>
            <wp:effectExtent l="0" t="0" r="2540" b="6350"/>
            <wp:docPr id="979535579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53557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4CD8B" w14:textId="52D21965" w:rsidR="000E79D2" w:rsidRPr="00F675C7" w:rsidRDefault="00135D2B" w:rsidP="00477D04">
      <w:pPr>
        <w:spacing w:after="0" w:line="360" w:lineRule="auto"/>
        <w:rPr>
          <w:sz w:val="22"/>
        </w:rPr>
      </w:pPr>
      <w:r w:rsidRPr="00F675C7">
        <w:rPr>
          <w:sz w:val="22"/>
        </w:rPr>
        <w:t>CIPD Event 2024 – HR Practitioners (PSNG supported)</w:t>
      </w:r>
    </w:p>
    <w:p w14:paraId="5077CB1C" w14:textId="77777777" w:rsidR="000E79D2" w:rsidRPr="00F675C7" w:rsidRDefault="000E79D2" w:rsidP="00477D04">
      <w:pPr>
        <w:spacing w:after="0" w:line="360" w:lineRule="auto"/>
        <w:rPr>
          <w:sz w:val="22"/>
        </w:rPr>
      </w:pPr>
    </w:p>
    <w:p w14:paraId="3DC7C840" w14:textId="07E7A8A7" w:rsidR="00477D04" w:rsidRDefault="00477D04" w:rsidP="009B05A2">
      <w:pPr>
        <w:spacing w:after="0" w:line="276" w:lineRule="auto"/>
        <w:rPr>
          <w:sz w:val="22"/>
        </w:rPr>
      </w:pPr>
      <w:r w:rsidRPr="00F675C7">
        <w:rPr>
          <w:sz w:val="22"/>
        </w:rPr>
        <w:t xml:space="preserve">In summary, the HR </w:t>
      </w:r>
      <w:r w:rsidR="009E13B8">
        <w:rPr>
          <w:sz w:val="22"/>
        </w:rPr>
        <w:t xml:space="preserve">Students and </w:t>
      </w:r>
      <w:r w:rsidRPr="00F675C7">
        <w:rPr>
          <w:sz w:val="22"/>
        </w:rPr>
        <w:t xml:space="preserve">Academic Department has: </w:t>
      </w:r>
    </w:p>
    <w:p w14:paraId="01FD247B" w14:textId="77777777" w:rsidR="009B05A2" w:rsidRPr="00F675C7" w:rsidRDefault="009B05A2" w:rsidP="009B05A2">
      <w:pPr>
        <w:spacing w:after="0" w:line="276" w:lineRule="auto"/>
        <w:rPr>
          <w:sz w:val="22"/>
        </w:rPr>
      </w:pPr>
    </w:p>
    <w:p w14:paraId="345A1365" w14:textId="77777777" w:rsidR="00477D04" w:rsidRPr="00F675C7" w:rsidRDefault="00477D04" w:rsidP="009B05A2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F675C7">
        <w:rPr>
          <w:rFonts w:ascii="Arial" w:hAnsi="Arial" w:cs="Arial"/>
          <w:sz w:val="22"/>
          <w:szCs w:val="22"/>
        </w:rPr>
        <w:t>Increased constructive learning and networking across the student group and with external HR professionals.</w:t>
      </w:r>
    </w:p>
    <w:p w14:paraId="7EA6E2DA" w14:textId="74721145" w:rsidR="00477D04" w:rsidRPr="00F675C7" w:rsidRDefault="00477D04" w:rsidP="009B05A2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F675C7">
        <w:rPr>
          <w:rFonts w:ascii="Arial" w:hAnsi="Arial" w:cs="Arial"/>
          <w:sz w:val="22"/>
          <w:szCs w:val="22"/>
        </w:rPr>
        <w:t xml:space="preserve">Increased </w:t>
      </w:r>
      <w:r w:rsidR="00210D3A">
        <w:rPr>
          <w:rFonts w:ascii="Arial" w:hAnsi="Arial" w:cs="Arial"/>
          <w:sz w:val="22"/>
          <w:szCs w:val="22"/>
        </w:rPr>
        <w:t>use of social media has provided greater opportunities to share knowledge. The project has led to the development of the LJMU Website, HR Facebook, LinkedIn HR Group,</w:t>
      </w:r>
      <w:r w:rsidRPr="00F675C7">
        <w:rPr>
          <w:rFonts w:ascii="Arial" w:hAnsi="Arial" w:cs="Arial"/>
          <w:sz w:val="22"/>
          <w:szCs w:val="22"/>
        </w:rPr>
        <w:t xml:space="preserve"> and </w:t>
      </w:r>
      <w:r w:rsidR="00AD2199" w:rsidRPr="00F675C7">
        <w:rPr>
          <w:rFonts w:ascii="Arial" w:hAnsi="Arial" w:cs="Arial"/>
          <w:sz w:val="22"/>
          <w:szCs w:val="22"/>
        </w:rPr>
        <w:t>X</w:t>
      </w:r>
      <w:r w:rsidRPr="00F675C7">
        <w:rPr>
          <w:rFonts w:ascii="Arial" w:hAnsi="Arial" w:cs="Arial"/>
          <w:sz w:val="22"/>
          <w:szCs w:val="22"/>
        </w:rPr>
        <w:t>.</w:t>
      </w:r>
    </w:p>
    <w:p w14:paraId="3615B1FB" w14:textId="3DD72E89" w:rsidR="00AD2199" w:rsidRPr="00F675C7" w:rsidRDefault="00AD2199" w:rsidP="009B05A2">
      <w:pPr>
        <w:pStyle w:val="ListParagraph"/>
        <w:numPr>
          <w:ilvl w:val="0"/>
          <w:numId w:val="1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F675C7">
        <w:rPr>
          <w:rFonts w:ascii="Arial" w:hAnsi="Arial" w:cs="Arial"/>
          <w:sz w:val="22"/>
          <w:szCs w:val="22"/>
        </w:rPr>
        <w:t xml:space="preserve">Secured better student graduate outcomes for students who have volunteered </w:t>
      </w:r>
      <w:r w:rsidR="00210D3A">
        <w:rPr>
          <w:rFonts w:ascii="Arial" w:hAnsi="Arial" w:cs="Arial"/>
          <w:sz w:val="22"/>
          <w:szCs w:val="22"/>
        </w:rPr>
        <w:t>in</w:t>
      </w:r>
      <w:r w:rsidR="00F675C7" w:rsidRPr="00F675C7">
        <w:rPr>
          <w:rFonts w:ascii="Arial" w:hAnsi="Arial" w:cs="Arial"/>
          <w:sz w:val="22"/>
          <w:szCs w:val="22"/>
        </w:rPr>
        <w:t xml:space="preserve"> the PSNG scheme.</w:t>
      </w:r>
    </w:p>
    <w:p w14:paraId="7951FC83" w14:textId="77777777" w:rsidR="00477D04" w:rsidRDefault="00477D04" w:rsidP="009B05A2">
      <w:pPr>
        <w:spacing w:line="276" w:lineRule="auto"/>
        <w:rPr>
          <w:sz w:val="22"/>
          <w:lang w:val="en-US"/>
        </w:rPr>
      </w:pPr>
    </w:p>
    <w:p w14:paraId="7A528DCD" w14:textId="1E521FD8" w:rsidR="00EA634B" w:rsidRDefault="005176C2" w:rsidP="009B05A2">
      <w:pPr>
        <w:spacing w:line="276" w:lineRule="auto"/>
        <w:rPr>
          <w:sz w:val="22"/>
          <w:lang w:val="en-US"/>
        </w:rPr>
      </w:pPr>
      <w:r w:rsidRPr="009B05A2">
        <w:rPr>
          <w:b/>
          <w:bCs/>
          <w:sz w:val="22"/>
          <w:lang w:val="en-US"/>
        </w:rPr>
        <w:t>References</w:t>
      </w:r>
    </w:p>
    <w:p w14:paraId="59F8981D" w14:textId="41B3A2AC" w:rsidR="005414FC" w:rsidRPr="005414FC" w:rsidRDefault="00EA634B" w:rsidP="009B05A2">
      <w:pPr>
        <w:pStyle w:val="EndNoteBibliography"/>
        <w:spacing w:after="0" w:line="276" w:lineRule="auto"/>
        <w:ind w:left="720" w:hanging="720"/>
      </w:pPr>
      <w:r>
        <w:rPr>
          <w:sz w:val="22"/>
        </w:rPr>
        <w:fldChar w:fldCharType="begin"/>
      </w:r>
      <w:r>
        <w:rPr>
          <w:sz w:val="22"/>
        </w:rPr>
        <w:instrText xml:space="preserve"> ADDIN EN.REFLIST </w:instrText>
      </w:r>
      <w:r>
        <w:rPr>
          <w:sz w:val="22"/>
        </w:rPr>
        <w:fldChar w:fldCharType="separate"/>
      </w:r>
      <w:r w:rsidR="005414FC" w:rsidRPr="005414FC">
        <w:t xml:space="preserve">ACERT. (2023). Storytelling, Education and Wellbeing. Retrieved from </w:t>
      </w:r>
      <w:hyperlink r:id="rId12" w:history="1">
        <w:r w:rsidR="005414FC" w:rsidRPr="005414FC">
          <w:rPr>
            <w:rStyle w:val="Hyperlink"/>
          </w:rPr>
          <w:t>https://acert.org.uk/the-conference-takes-shape-duplicate-1/</w:t>
        </w:r>
      </w:hyperlink>
    </w:p>
    <w:p w14:paraId="1B577193" w14:textId="77777777" w:rsidR="005414FC" w:rsidRPr="005414FC" w:rsidRDefault="005414FC" w:rsidP="009B05A2">
      <w:pPr>
        <w:pStyle w:val="EndNoteBibliography"/>
        <w:spacing w:after="0" w:line="276" w:lineRule="auto"/>
        <w:ind w:left="720" w:hanging="720"/>
      </w:pPr>
      <w:r w:rsidRPr="005414FC">
        <w:t xml:space="preserve">Harrison, P., Nichol, L., &amp; Gold, J. (2020). Redefining HRD Roles and Practice in the Machine Learning Revolution. In M. Loon, J. Stewart, &amp; S. Nachmias (Eds.), </w:t>
      </w:r>
      <w:r w:rsidRPr="005414FC">
        <w:rPr>
          <w:i/>
        </w:rPr>
        <w:lastRenderedPageBreak/>
        <w:t>The Future of HRD, Innovation and Technology</w:t>
      </w:r>
      <w:r w:rsidRPr="005414FC">
        <w:t xml:space="preserve"> (Vol. 1, pp. 143-166). Switzerland: palgrave macmillan.</w:t>
      </w:r>
    </w:p>
    <w:p w14:paraId="22D36659" w14:textId="646019F7" w:rsidR="005414FC" w:rsidRPr="005414FC" w:rsidRDefault="005414FC" w:rsidP="009B05A2">
      <w:pPr>
        <w:pStyle w:val="EndNoteBibliography"/>
        <w:spacing w:after="0" w:line="276" w:lineRule="auto"/>
        <w:ind w:left="720" w:hanging="720"/>
      </w:pPr>
      <w:r w:rsidRPr="005414FC">
        <w:t xml:space="preserve">Office for Students. (2021). New measures shows substantial differences in likely job and study outcomes for students. Retrieved from </w:t>
      </w:r>
      <w:hyperlink r:id="rId13" w:history="1">
        <w:r w:rsidRPr="005414FC">
          <w:rPr>
            <w:rStyle w:val="Hyperlink"/>
          </w:rPr>
          <w:t>https://www.officeforstudents.org.uk/news-blog-and-events/press-and-media/new-measure-shows-substantial-differences-in-likely-job-and-study-outcomes-for-students/</w:t>
        </w:r>
      </w:hyperlink>
    </w:p>
    <w:p w14:paraId="0CBB2651" w14:textId="77777777" w:rsidR="005414FC" w:rsidRPr="005414FC" w:rsidRDefault="005414FC" w:rsidP="009B05A2">
      <w:pPr>
        <w:pStyle w:val="EndNoteBibliography"/>
        <w:spacing w:after="0" w:line="276" w:lineRule="auto"/>
        <w:ind w:left="720" w:hanging="720"/>
      </w:pPr>
      <w:r w:rsidRPr="005414FC">
        <w:t xml:space="preserve">Sarcol, E., Coutinho, I., Maguire, E., Collins, H., &amp; Jolliffe, P. (2024). Exploring Women's Education and Employment Opportunities in India, Syria, and the Philippines. </w:t>
      </w:r>
      <w:r w:rsidRPr="005414FC">
        <w:rPr>
          <w:i/>
        </w:rPr>
        <w:t>The Qualitative Report, 29</w:t>
      </w:r>
      <w:r w:rsidRPr="005414FC">
        <w:t>(1). doi:10.46743/2160-3715/2024.5728</w:t>
      </w:r>
    </w:p>
    <w:p w14:paraId="7C0214BB" w14:textId="77777777" w:rsidR="005414FC" w:rsidRPr="005414FC" w:rsidRDefault="005414FC" w:rsidP="009B05A2">
      <w:pPr>
        <w:pStyle w:val="EndNoteBibliography"/>
        <w:spacing w:line="276" w:lineRule="auto"/>
        <w:ind w:left="720" w:hanging="720"/>
      </w:pPr>
      <w:r w:rsidRPr="005414FC">
        <w:t xml:space="preserve">Thakur, A., Hinge, P., &amp; Adhegaonkar, V. (2023). </w:t>
      </w:r>
      <w:r w:rsidRPr="005414FC">
        <w:rPr>
          <w:i/>
        </w:rPr>
        <w:t>Use of Artificial Intelligence (AI) in Recruitment and Selection.</w:t>
      </w:r>
      <w:r w:rsidRPr="005414FC">
        <w:t xml:space="preserve"> Paper presented at the ICAMIDA.</w:t>
      </w:r>
    </w:p>
    <w:p w14:paraId="573CBEB4" w14:textId="273A209E" w:rsidR="00E31F1F" w:rsidRPr="00F675C7" w:rsidRDefault="00EA634B" w:rsidP="009B05A2">
      <w:pPr>
        <w:spacing w:line="276" w:lineRule="auto"/>
        <w:rPr>
          <w:sz w:val="22"/>
          <w:lang w:val="en-US"/>
        </w:rPr>
      </w:pPr>
      <w:r>
        <w:rPr>
          <w:sz w:val="22"/>
          <w:lang w:val="en-US"/>
        </w:rPr>
        <w:fldChar w:fldCharType="end"/>
      </w:r>
    </w:p>
    <w:sectPr w:rsidR="00E31F1F" w:rsidRPr="00F67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80C81"/>
    <w:multiLevelType w:val="multilevel"/>
    <w:tmpl w:val="C386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314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0tzQyMjazsLQ0NDFW0lEKTi0uzszPAykwqQUAeH8TQ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atrv0asqra2t5e5v0rx2dvy9f05vdd22sss&quot;&gt;Endnote November 2005 Copy Copy Copy&lt;record-ids&gt;&lt;item&gt;1541&lt;/item&gt;&lt;item&gt;1829&lt;/item&gt;&lt;item&gt;1841&lt;/item&gt;&lt;item&gt;1872&lt;/item&gt;&lt;item&gt;1873&lt;/item&gt;&lt;/record-ids&gt;&lt;/item&gt;&lt;/Libraries&gt;"/>
  </w:docVars>
  <w:rsids>
    <w:rsidRoot w:val="00021936"/>
    <w:rsid w:val="0000570C"/>
    <w:rsid w:val="000109DD"/>
    <w:rsid w:val="00021936"/>
    <w:rsid w:val="0006527C"/>
    <w:rsid w:val="000B1FDC"/>
    <w:rsid w:val="000E2F94"/>
    <w:rsid w:val="000E79D2"/>
    <w:rsid w:val="001019E5"/>
    <w:rsid w:val="00135D2B"/>
    <w:rsid w:val="00147BE2"/>
    <w:rsid w:val="00164CC3"/>
    <w:rsid w:val="00173EEB"/>
    <w:rsid w:val="0017661D"/>
    <w:rsid w:val="001864DF"/>
    <w:rsid w:val="001E3FCB"/>
    <w:rsid w:val="001E75C7"/>
    <w:rsid w:val="001F55C0"/>
    <w:rsid w:val="00202C08"/>
    <w:rsid w:val="00210D3A"/>
    <w:rsid w:val="00226F42"/>
    <w:rsid w:val="00242673"/>
    <w:rsid w:val="00250983"/>
    <w:rsid w:val="00252730"/>
    <w:rsid w:val="00285086"/>
    <w:rsid w:val="00292AA4"/>
    <w:rsid w:val="002C7CEF"/>
    <w:rsid w:val="002E6196"/>
    <w:rsid w:val="002F02FF"/>
    <w:rsid w:val="002F29DD"/>
    <w:rsid w:val="00301AF5"/>
    <w:rsid w:val="003079E0"/>
    <w:rsid w:val="0033190C"/>
    <w:rsid w:val="00342B33"/>
    <w:rsid w:val="0036098B"/>
    <w:rsid w:val="0036166B"/>
    <w:rsid w:val="003869E5"/>
    <w:rsid w:val="00387412"/>
    <w:rsid w:val="00393F25"/>
    <w:rsid w:val="003C15B2"/>
    <w:rsid w:val="0042388F"/>
    <w:rsid w:val="004477CB"/>
    <w:rsid w:val="0045653E"/>
    <w:rsid w:val="004573F5"/>
    <w:rsid w:val="004630D8"/>
    <w:rsid w:val="0047186D"/>
    <w:rsid w:val="00477D04"/>
    <w:rsid w:val="00480288"/>
    <w:rsid w:val="0049651B"/>
    <w:rsid w:val="004A3B89"/>
    <w:rsid w:val="004B4BBB"/>
    <w:rsid w:val="004C7855"/>
    <w:rsid w:val="00500B96"/>
    <w:rsid w:val="005176C2"/>
    <w:rsid w:val="00523703"/>
    <w:rsid w:val="00525B49"/>
    <w:rsid w:val="005414FC"/>
    <w:rsid w:val="005F1F22"/>
    <w:rsid w:val="0060587F"/>
    <w:rsid w:val="006172BC"/>
    <w:rsid w:val="0063447C"/>
    <w:rsid w:val="006440AB"/>
    <w:rsid w:val="0066521B"/>
    <w:rsid w:val="006B0258"/>
    <w:rsid w:val="006B651D"/>
    <w:rsid w:val="006D61F0"/>
    <w:rsid w:val="006E28B8"/>
    <w:rsid w:val="0071198E"/>
    <w:rsid w:val="00716AC5"/>
    <w:rsid w:val="0072312A"/>
    <w:rsid w:val="007249AA"/>
    <w:rsid w:val="00733765"/>
    <w:rsid w:val="00773E80"/>
    <w:rsid w:val="007A77D5"/>
    <w:rsid w:val="007B0021"/>
    <w:rsid w:val="007D02A9"/>
    <w:rsid w:val="007E3A24"/>
    <w:rsid w:val="0082096B"/>
    <w:rsid w:val="00820B98"/>
    <w:rsid w:val="00831B42"/>
    <w:rsid w:val="00833F3D"/>
    <w:rsid w:val="008349DF"/>
    <w:rsid w:val="008649B0"/>
    <w:rsid w:val="0087094F"/>
    <w:rsid w:val="008716EA"/>
    <w:rsid w:val="008718DB"/>
    <w:rsid w:val="00875F3D"/>
    <w:rsid w:val="00877052"/>
    <w:rsid w:val="00885B39"/>
    <w:rsid w:val="008909CD"/>
    <w:rsid w:val="00890BD6"/>
    <w:rsid w:val="008B2F9E"/>
    <w:rsid w:val="008B4B85"/>
    <w:rsid w:val="008C20AA"/>
    <w:rsid w:val="008C7E18"/>
    <w:rsid w:val="008E26B3"/>
    <w:rsid w:val="008E61E2"/>
    <w:rsid w:val="008F288F"/>
    <w:rsid w:val="00911471"/>
    <w:rsid w:val="0091373D"/>
    <w:rsid w:val="00915FB6"/>
    <w:rsid w:val="009534F7"/>
    <w:rsid w:val="00980E3A"/>
    <w:rsid w:val="009B05A2"/>
    <w:rsid w:val="009E13B8"/>
    <w:rsid w:val="009E6E1A"/>
    <w:rsid w:val="00A04843"/>
    <w:rsid w:val="00A433BD"/>
    <w:rsid w:val="00A43660"/>
    <w:rsid w:val="00A60804"/>
    <w:rsid w:val="00AB2F00"/>
    <w:rsid w:val="00AB715A"/>
    <w:rsid w:val="00AC34E3"/>
    <w:rsid w:val="00AD2199"/>
    <w:rsid w:val="00B21FA6"/>
    <w:rsid w:val="00B612A8"/>
    <w:rsid w:val="00B915F1"/>
    <w:rsid w:val="00BA5F6E"/>
    <w:rsid w:val="00BC7B30"/>
    <w:rsid w:val="00BF3B76"/>
    <w:rsid w:val="00C21D0F"/>
    <w:rsid w:val="00C3070D"/>
    <w:rsid w:val="00C33393"/>
    <w:rsid w:val="00C54BD7"/>
    <w:rsid w:val="00C62749"/>
    <w:rsid w:val="00C71BF3"/>
    <w:rsid w:val="00C8059E"/>
    <w:rsid w:val="00CE43C5"/>
    <w:rsid w:val="00CF45E6"/>
    <w:rsid w:val="00D65ABA"/>
    <w:rsid w:val="00D74AFA"/>
    <w:rsid w:val="00D93D95"/>
    <w:rsid w:val="00D95811"/>
    <w:rsid w:val="00DA1D19"/>
    <w:rsid w:val="00DB2106"/>
    <w:rsid w:val="00DE4543"/>
    <w:rsid w:val="00E21FD4"/>
    <w:rsid w:val="00E25C1C"/>
    <w:rsid w:val="00E31F1F"/>
    <w:rsid w:val="00E7751F"/>
    <w:rsid w:val="00EA634B"/>
    <w:rsid w:val="00EA68D4"/>
    <w:rsid w:val="00EF3409"/>
    <w:rsid w:val="00F07BE8"/>
    <w:rsid w:val="00F11836"/>
    <w:rsid w:val="00F3772B"/>
    <w:rsid w:val="00F6268A"/>
    <w:rsid w:val="00F66CE5"/>
    <w:rsid w:val="00F675C7"/>
    <w:rsid w:val="00FB7B3F"/>
    <w:rsid w:val="00FB7C1D"/>
    <w:rsid w:val="00FC74AA"/>
    <w:rsid w:val="00FD6456"/>
    <w:rsid w:val="00FE7820"/>
    <w:rsid w:val="00FF01BD"/>
    <w:rsid w:val="00FF6322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D8606"/>
  <w15:chartTrackingRefBased/>
  <w15:docId w15:val="{E35A44E3-087A-47B7-B8B3-89E96889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9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21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4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543"/>
    <w:rPr>
      <w:sz w:val="20"/>
      <w:szCs w:val="20"/>
    </w:rPr>
  </w:style>
  <w:style w:type="character" w:customStyle="1" w:styleId="normaltextrun1">
    <w:name w:val="normaltextrun1"/>
    <w:basedOn w:val="DefaultParagraphFont"/>
    <w:rsid w:val="00F11836"/>
  </w:style>
  <w:style w:type="character" w:customStyle="1" w:styleId="eop">
    <w:name w:val="eop"/>
    <w:basedOn w:val="DefaultParagraphFont"/>
    <w:rsid w:val="00F11836"/>
  </w:style>
  <w:style w:type="table" w:styleId="TableGrid">
    <w:name w:val="Table Grid"/>
    <w:basedOn w:val="TableNormal"/>
    <w:rsid w:val="00477D04"/>
    <w:pPr>
      <w:spacing w:after="0" w:line="240" w:lineRule="auto"/>
    </w:pPr>
    <w:rPr>
      <w:rFonts w:ascii="Arial Rounded MT Bold" w:eastAsia="MS PGothic" w:hAnsi="Arial Rounded MT Bold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7D04"/>
    <w:pPr>
      <w:spacing w:after="0" w:line="240" w:lineRule="auto"/>
      <w:ind w:left="720"/>
      <w:contextualSpacing/>
    </w:pPr>
    <w:rPr>
      <w:rFonts w:ascii="Open Sans Light" w:eastAsia="MS PGothic" w:hAnsi="Open Sans Light" w:cs="Times New Roman"/>
      <w:color w:val="000000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7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77CB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EA634B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A634B"/>
    <w:rPr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A634B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A634B"/>
    <w:rPr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3869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9E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2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officeforstudents.org.uk/news-blog-and-events/press-and-media/new-measure-shows-substantial-differences-in-likely-job-and-study-outcomes-for-studen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ert.org.uk/the-conference-takes-shape-duplicate-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cb2eb8cc-7086-4105-bf1f-3213cf754f17@eurprd02.prod.outlook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cid:feb22ebd-affd-426e-a0df-6c4c255166fe@eurprd02.prod.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8f3732-9b1c-4140-b927-4e2d08fe97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55BC92F8D004E980773020150216E" ma:contentTypeVersion="18" ma:contentTypeDescription="Create a new document." ma:contentTypeScope="" ma:versionID="3a6bad43ddf6e21cd9f1d53c9c3c51f2">
  <xsd:schema xmlns:xsd="http://www.w3.org/2001/XMLSchema" xmlns:xs="http://www.w3.org/2001/XMLSchema" xmlns:p="http://schemas.microsoft.com/office/2006/metadata/properties" xmlns:ns3="f78f3732-9b1c-4140-b927-4e2d08fe97ec" xmlns:ns4="22cfb043-3336-40ab-9ea9-6f3bda111504" targetNamespace="http://schemas.microsoft.com/office/2006/metadata/properties" ma:root="true" ma:fieldsID="7ad75c307fdc9b6ddfacee00ecaf0c5e" ns3:_="" ns4:_="">
    <xsd:import namespace="f78f3732-9b1c-4140-b927-4e2d08fe97ec"/>
    <xsd:import namespace="22cfb043-3336-40ab-9ea9-6f3bda111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f3732-9b1c-4140-b927-4e2d08fe9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fb043-3336-40ab-9ea9-6f3bda111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7E15E-F91B-4864-A6AD-9BD3D7A2E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03D41-A822-4431-880F-CC098FA46845}">
  <ds:schemaRefs>
    <ds:schemaRef ds:uri="http://schemas.microsoft.com/office/2006/metadata/properties"/>
    <ds:schemaRef ds:uri="http://schemas.microsoft.com/office/infopath/2007/PartnerControls"/>
    <ds:schemaRef ds:uri="f78f3732-9b1c-4140-b927-4e2d08fe97ec"/>
  </ds:schemaRefs>
</ds:datastoreItem>
</file>

<file path=customXml/itemProps3.xml><?xml version="1.0" encoding="utf-8"?>
<ds:datastoreItem xmlns:ds="http://schemas.openxmlformats.org/officeDocument/2006/customXml" ds:itemID="{31012DD2-B1FF-48BB-893D-31C098070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f3732-9b1c-4140-b927-4e2d08fe97ec"/>
    <ds:schemaRef ds:uri="22cfb043-3336-40ab-9ea9-6f3bda111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5</Pages>
  <Words>1264</Words>
  <Characters>13148</Characters>
  <Application>Microsoft Office Word</Application>
  <DocSecurity>0</DocSecurity>
  <Lines>109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Harrison</dc:creator>
  <cp:keywords/>
  <dc:description/>
  <cp:lastModifiedBy>Murray, Caroline</cp:lastModifiedBy>
  <cp:revision>44</cp:revision>
  <cp:lastPrinted>2024-04-26T09:33:00Z</cp:lastPrinted>
  <dcterms:created xsi:type="dcterms:W3CDTF">2024-06-04T18:31:00Z</dcterms:created>
  <dcterms:modified xsi:type="dcterms:W3CDTF">2024-11-15T11:29:00Z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34d319aae548c3b651e0192c4c5d7590be07de18c924fc3c8f40474b841ffeba</vt:lpwstr>
  </property>
  <property fmtid="{D5CDD505-2E9C-101B-9397-08002B2CF9AE}" pid="3" name="ContentTypeId">
    <vt:lpwstr>0x01010074A55BC92F8D004E980773020150216E</vt:lpwstr>
  </property>
</Properties>
</file>