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E1A6" w14:textId="4E64D4FC" w:rsidR="00170A4E" w:rsidRDefault="002B6934" w:rsidP="002B6934">
      <w:pPr>
        <w:spacing w:after="0" w:line="240" w:lineRule="auto"/>
        <w:rPr>
          <w:rFonts w:ascii="Arial" w:hAnsi="Arial" w:cs="Arial"/>
        </w:rPr>
      </w:pPr>
      <w:r>
        <w:rPr>
          <w:rFonts w:eastAsia="Times New Roman" w:cs="Arial"/>
          <w:b/>
          <w:noProof/>
          <w:color w:val="000000"/>
          <w:sz w:val="16"/>
          <w:szCs w:val="16"/>
          <w:lang w:eastAsia="en-GB"/>
        </w:rPr>
        <w:drawing>
          <wp:inline distT="0" distB="0" distL="0" distR="0" wp14:anchorId="0458CF5C" wp14:editId="5E17B418">
            <wp:extent cx="271272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BA057" w14:textId="2952E673" w:rsidR="002B6934" w:rsidRDefault="002B6934" w:rsidP="002B6934">
      <w:pPr>
        <w:spacing w:after="0" w:line="240" w:lineRule="auto"/>
        <w:rPr>
          <w:rFonts w:ascii="Arial" w:hAnsi="Arial" w:cs="Arial"/>
        </w:rPr>
      </w:pPr>
    </w:p>
    <w:p w14:paraId="6C5F9022" w14:textId="292957B2" w:rsidR="002B6934" w:rsidRDefault="002B6934" w:rsidP="002B6934">
      <w:pPr>
        <w:spacing w:after="0" w:line="240" w:lineRule="auto"/>
        <w:rPr>
          <w:rFonts w:ascii="Arial" w:hAnsi="Arial" w:cs="Arial"/>
        </w:rPr>
      </w:pPr>
    </w:p>
    <w:p w14:paraId="32161E82" w14:textId="159D28B6" w:rsidR="002B6934" w:rsidRDefault="002B6934" w:rsidP="002B6934">
      <w:pPr>
        <w:spacing w:after="0" w:line="240" w:lineRule="auto"/>
        <w:rPr>
          <w:rFonts w:ascii="Arial" w:hAnsi="Arial" w:cs="Arial"/>
        </w:rPr>
      </w:pPr>
    </w:p>
    <w:p w14:paraId="492F8C88" w14:textId="4477A2E9" w:rsidR="002B6934" w:rsidRDefault="002B6934" w:rsidP="002B6934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  <w:r w:rsidRPr="002B6934">
        <w:rPr>
          <w:rFonts w:ascii="Arial" w:hAnsi="Arial" w:cs="Arial"/>
          <w:b/>
          <w:bCs/>
          <w:color w:val="002060"/>
        </w:rPr>
        <w:t>Quality Assurance Agency Subject Benchmark Statement Alignment Verification</w:t>
      </w:r>
    </w:p>
    <w:p w14:paraId="3CB1AC45" w14:textId="072AB4ED" w:rsidR="002B6934" w:rsidRDefault="002B6934" w:rsidP="002B6934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</w:p>
    <w:p w14:paraId="5AC1706D" w14:textId="77777777" w:rsidR="00C6557A" w:rsidRPr="00D26DAD" w:rsidRDefault="002B6934" w:rsidP="002B693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6DAD">
        <w:rPr>
          <w:rFonts w:ascii="Arial" w:hAnsi="Arial" w:cs="Arial"/>
          <w:b/>
          <w:bCs/>
          <w:i/>
          <w:iCs/>
        </w:rPr>
        <w:t xml:space="preserve">As part of the university’s obligations to the Office for Students, it is required to ensure that </w:t>
      </w:r>
      <w:r w:rsidR="00C6557A" w:rsidRPr="00D26DAD">
        <w:rPr>
          <w:rFonts w:ascii="Arial" w:hAnsi="Arial" w:cs="Arial"/>
          <w:b/>
          <w:bCs/>
          <w:i/>
          <w:iCs/>
        </w:rPr>
        <w:t>its programmes are up-to-date (Ongoing Condition B1) and that their standards appropriately reflect applicable sector-recognised standards (Ongoing Condition B5).</w:t>
      </w:r>
    </w:p>
    <w:p w14:paraId="6D172847" w14:textId="77777777" w:rsidR="00C6557A" w:rsidRPr="00D26DAD" w:rsidRDefault="00C6557A" w:rsidP="002B693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387A6678" w14:textId="02DA85F1" w:rsidR="00C6557A" w:rsidRPr="00D26DAD" w:rsidRDefault="00C6557A" w:rsidP="002B693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6DAD">
        <w:rPr>
          <w:rFonts w:ascii="Arial" w:hAnsi="Arial" w:cs="Arial"/>
          <w:b/>
          <w:bCs/>
          <w:i/>
          <w:iCs/>
        </w:rPr>
        <w:t xml:space="preserve">Through their description of the nature of study and the academic standards expected of graduates in a specific subject area, </w:t>
      </w:r>
      <w:r w:rsidR="00D41451">
        <w:rPr>
          <w:rFonts w:ascii="Arial" w:hAnsi="Arial" w:cs="Arial"/>
          <w:b/>
          <w:bCs/>
          <w:i/>
          <w:iCs/>
        </w:rPr>
        <w:t xml:space="preserve">the </w:t>
      </w:r>
      <w:r w:rsidRPr="00D26DAD">
        <w:rPr>
          <w:rFonts w:ascii="Arial" w:hAnsi="Arial" w:cs="Arial"/>
          <w:b/>
          <w:bCs/>
          <w:i/>
          <w:iCs/>
        </w:rPr>
        <w:t>Quality Assurance Agency</w:t>
      </w:r>
      <w:r w:rsidR="00D41451">
        <w:rPr>
          <w:rFonts w:ascii="Arial" w:hAnsi="Arial" w:cs="Arial"/>
          <w:b/>
          <w:bCs/>
          <w:i/>
          <w:iCs/>
        </w:rPr>
        <w:t>’s</w:t>
      </w:r>
      <w:r w:rsidRPr="00D26DAD">
        <w:rPr>
          <w:rFonts w:ascii="Arial" w:hAnsi="Arial" w:cs="Arial"/>
          <w:b/>
          <w:bCs/>
          <w:i/>
          <w:iCs/>
        </w:rPr>
        <w:t xml:space="preserve"> (QAA) Subject Benchmark Statements are an important reference point in supporting programme teams to ensure that their programmes are up-to-date and </w:t>
      </w:r>
      <w:r w:rsidR="00D41451">
        <w:rPr>
          <w:rFonts w:ascii="Arial" w:hAnsi="Arial" w:cs="Arial"/>
          <w:b/>
          <w:bCs/>
          <w:i/>
          <w:iCs/>
        </w:rPr>
        <w:t xml:space="preserve">that they </w:t>
      </w:r>
      <w:r w:rsidRPr="00D26DAD">
        <w:rPr>
          <w:rFonts w:ascii="Arial" w:hAnsi="Arial" w:cs="Arial"/>
          <w:b/>
          <w:bCs/>
          <w:i/>
          <w:iCs/>
        </w:rPr>
        <w:t xml:space="preserve">reflect sector-recognised standards. </w:t>
      </w:r>
    </w:p>
    <w:p w14:paraId="5596AAAE" w14:textId="77777777" w:rsidR="00C6557A" w:rsidRPr="00D26DAD" w:rsidRDefault="00C6557A" w:rsidP="002B693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3157E8F3" w14:textId="77777777" w:rsidR="00C6557A" w:rsidRPr="00D26DAD" w:rsidRDefault="00C6557A" w:rsidP="002B693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6DAD">
        <w:rPr>
          <w:rFonts w:ascii="Arial" w:hAnsi="Arial" w:cs="Arial"/>
          <w:b/>
          <w:bCs/>
          <w:i/>
          <w:iCs/>
        </w:rPr>
        <w:t xml:space="preserve">As Subject Benchmark Statements are reviewed periodically by the QAA, it is acknowledged that updated versions may be published during a programme’s period of approval. </w:t>
      </w:r>
    </w:p>
    <w:p w14:paraId="055CAF1B" w14:textId="77777777" w:rsidR="00C6557A" w:rsidRPr="00D26DAD" w:rsidRDefault="00C6557A" w:rsidP="002B693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153561D5" w14:textId="6C858500" w:rsidR="002B6934" w:rsidRPr="00D26DAD" w:rsidRDefault="00C6557A" w:rsidP="002B693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6DAD">
        <w:rPr>
          <w:rFonts w:ascii="Arial" w:hAnsi="Arial" w:cs="Arial"/>
          <w:b/>
          <w:bCs/>
          <w:i/>
          <w:iCs/>
        </w:rPr>
        <w:t>As a result, as and when new Subject Benchmark Statements</w:t>
      </w:r>
      <w:r w:rsidR="009344B8">
        <w:rPr>
          <w:rFonts w:ascii="Arial" w:hAnsi="Arial" w:cs="Arial"/>
          <w:b/>
          <w:bCs/>
          <w:i/>
          <w:iCs/>
        </w:rPr>
        <w:t xml:space="preserve"> are published by the QAA</w:t>
      </w:r>
      <w:r w:rsidR="00D41451">
        <w:rPr>
          <w:rFonts w:ascii="Arial" w:hAnsi="Arial" w:cs="Arial"/>
          <w:b/>
          <w:bCs/>
          <w:i/>
          <w:iCs/>
        </w:rPr>
        <w:t>,</w:t>
      </w:r>
      <w:r w:rsidRPr="00D26DAD">
        <w:rPr>
          <w:rFonts w:ascii="Arial" w:hAnsi="Arial" w:cs="Arial"/>
          <w:b/>
          <w:bCs/>
          <w:i/>
          <w:iCs/>
        </w:rPr>
        <w:t xml:space="preserve"> programme teams are required to assess their programme</w:t>
      </w:r>
      <w:r w:rsidR="00D41451">
        <w:rPr>
          <w:rFonts w:ascii="Arial" w:hAnsi="Arial" w:cs="Arial"/>
          <w:b/>
          <w:bCs/>
          <w:i/>
          <w:iCs/>
        </w:rPr>
        <w:t>(s)</w:t>
      </w:r>
      <w:r w:rsidRPr="00D26DAD">
        <w:rPr>
          <w:rFonts w:ascii="Arial" w:hAnsi="Arial" w:cs="Arial"/>
          <w:b/>
          <w:bCs/>
          <w:i/>
          <w:iCs/>
        </w:rPr>
        <w:t xml:space="preserve"> in the context of the updated Subject Benchmark Statement to either:</w:t>
      </w:r>
    </w:p>
    <w:p w14:paraId="0D7DBD80" w14:textId="2BDBA161" w:rsidR="00C6557A" w:rsidRPr="00D26DAD" w:rsidRDefault="00C6557A" w:rsidP="002B693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23CAE3D3" w14:textId="652103FA" w:rsidR="00C6557A" w:rsidRPr="00D26DAD" w:rsidRDefault="00C6557A" w:rsidP="00C655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6DAD">
        <w:rPr>
          <w:rFonts w:ascii="Arial" w:hAnsi="Arial" w:cs="Arial"/>
          <w:b/>
          <w:bCs/>
          <w:i/>
          <w:iCs/>
        </w:rPr>
        <w:t>Provide assurances to the university, via the Validation and Review Oversight Panel (VROP) that the programme</w:t>
      </w:r>
      <w:r w:rsidR="00D41451">
        <w:rPr>
          <w:rFonts w:ascii="Arial" w:hAnsi="Arial" w:cs="Arial"/>
          <w:b/>
          <w:bCs/>
          <w:i/>
          <w:iCs/>
        </w:rPr>
        <w:t>(s)</w:t>
      </w:r>
      <w:r w:rsidRPr="00D26DAD">
        <w:rPr>
          <w:rFonts w:ascii="Arial" w:hAnsi="Arial" w:cs="Arial"/>
          <w:b/>
          <w:bCs/>
          <w:i/>
          <w:iCs/>
        </w:rPr>
        <w:t xml:space="preserve"> </w:t>
      </w:r>
      <w:r w:rsidR="009344B8">
        <w:rPr>
          <w:rFonts w:ascii="Arial" w:hAnsi="Arial" w:cs="Arial"/>
          <w:b/>
          <w:bCs/>
          <w:i/>
          <w:iCs/>
        </w:rPr>
        <w:t xml:space="preserve">is </w:t>
      </w:r>
      <w:r w:rsidRPr="00D26DAD">
        <w:rPr>
          <w:rFonts w:ascii="Arial" w:hAnsi="Arial" w:cs="Arial"/>
          <w:b/>
          <w:bCs/>
          <w:i/>
          <w:iCs/>
        </w:rPr>
        <w:t xml:space="preserve">aligned to the updated Subject Benchmark Statement, </w:t>
      </w:r>
      <w:r w:rsidR="009344B8">
        <w:rPr>
          <w:rFonts w:ascii="Arial" w:hAnsi="Arial" w:cs="Arial"/>
          <w:b/>
          <w:bCs/>
          <w:i/>
          <w:iCs/>
        </w:rPr>
        <w:t xml:space="preserve">without the need for amendment, </w:t>
      </w:r>
      <w:r w:rsidRPr="00D26DAD">
        <w:rPr>
          <w:rFonts w:ascii="Arial" w:hAnsi="Arial" w:cs="Arial"/>
          <w:b/>
          <w:bCs/>
          <w:i/>
          <w:iCs/>
        </w:rPr>
        <w:t>or</w:t>
      </w:r>
    </w:p>
    <w:p w14:paraId="0DCA2E9C" w14:textId="447CBA0F" w:rsidR="0084223D" w:rsidRPr="00D26DAD" w:rsidRDefault="0084223D" w:rsidP="0084223D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328C0533" w14:textId="0BB62B60" w:rsidR="0084223D" w:rsidRPr="00D26DAD" w:rsidRDefault="0084223D" w:rsidP="00C655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6DAD">
        <w:rPr>
          <w:rFonts w:ascii="Arial" w:hAnsi="Arial" w:cs="Arial"/>
          <w:b/>
          <w:bCs/>
          <w:i/>
          <w:iCs/>
        </w:rPr>
        <w:t xml:space="preserve">To confirm the necessary changes to the programme to facilitate alignment. Such changes would need to </w:t>
      </w:r>
      <w:r w:rsidR="00D26DAD" w:rsidRPr="00D26DAD">
        <w:rPr>
          <w:rFonts w:ascii="Arial" w:hAnsi="Arial" w:cs="Arial"/>
          <w:b/>
          <w:bCs/>
          <w:i/>
          <w:iCs/>
        </w:rPr>
        <w:t xml:space="preserve">subsequently be </w:t>
      </w:r>
      <w:r w:rsidRPr="00D26DAD">
        <w:rPr>
          <w:rFonts w:ascii="Arial" w:hAnsi="Arial" w:cs="Arial"/>
          <w:b/>
          <w:bCs/>
          <w:i/>
          <w:iCs/>
        </w:rPr>
        <w:t xml:space="preserve">presented to the Programme and Module Amendment Panel (PMAP) </w:t>
      </w:r>
      <w:r w:rsidR="00D26DAD" w:rsidRPr="00D26DAD">
        <w:rPr>
          <w:rFonts w:ascii="Arial" w:hAnsi="Arial" w:cs="Arial"/>
          <w:b/>
          <w:bCs/>
          <w:i/>
          <w:iCs/>
        </w:rPr>
        <w:t>in-line with</w:t>
      </w:r>
      <w:r w:rsidRPr="00D26DAD">
        <w:rPr>
          <w:rFonts w:ascii="Arial" w:hAnsi="Arial" w:cs="Arial"/>
          <w:b/>
          <w:bCs/>
          <w:i/>
          <w:iCs/>
        </w:rPr>
        <w:t xml:space="preserve"> the university’s </w:t>
      </w:r>
      <w:hyperlink r:id="rId9" w:history="1">
        <w:r w:rsidR="006F78B3" w:rsidRPr="00D26DAD">
          <w:rPr>
            <w:rStyle w:val="Hyperlink"/>
            <w:rFonts w:ascii="Arial" w:hAnsi="Arial" w:cs="Arial"/>
            <w:b/>
            <w:bCs/>
            <w:i/>
            <w:iCs/>
          </w:rPr>
          <w:t xml:space="preserve">programme and module </w:t>
        </w:r>
        <w:r w:rsidRPr="00D26DAD">
          <w:rPr>
            <w:rStyle w:val="Hyperlink"/>
            <w:rFonts w:ascii="Arial" w:hAnsi="Arial" w:cs="Arial"/>
            <w:b/>
            <w:bCs/>
            <w:i/>
            <w:iCs/>
          </w:rPr>
          <w:t>amendment process</w:t>
        </w:r>
      </w:hyperlink>
      <w:r w:rsidRPr="00D26DAD">
        <w:rPr>
          <w:rFonts w:ascii="Arial" w:hAnsi="Arial" w:cs="Arial"/>
          <w:b/>
          <w:bCs/>
          <w:i/>
          <w:iCs/>
        </w:rPr>
        <w:t xml:space="preserve">.  </w:t>
      </w:r>
    </w:p>
    <w:p w14:paraId="7906DF11" w14:textId="5741D877" w:rsidR="006F78B3" w:rsidRPr="00D26DAD" w:rsidRDefault="006F78B3" w:rsidP="006F78B3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2E8ECB02" w14:textId="5B0D667D" w:rsidR="00B1382C" w:rsidRDefault="006F78B3" w:rsidP="00B1382C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6DAD">
        <w:rPr>
          <w:rFonts w:ascii="Arial" w:hAnsi="Arial" w:cs="Arial"/>
          <w:b/>
          <w:bCs/>
          <w:i/>
          <w:iCs/>
        </w:rPr>
        <w:t xml:space="preserve">Once VROP has confirmed that they are content with the assurances provided that the programme </w:t>
      </w:r>
      <w:r w:rsidR="00B1382C">
        <w:rPr>
          <w:rFonts w:ascii="Arial" w:hAnsi="Arial" w:cs="Arial"/>
          <w:b/>
          <w:bCs/>
          <w:i/>
          <w:iCs/>
        </w:rPr>
        <w:t xml:space="preserve">is </w:t>
      </w:r>
      <w:r w:rsidRPr="00D26DAD">
        <w:rPr>
          <w:rFonts w:ascii="Arial" w:hAnsi="Arial" w:cs="Arial"/>
          <w:b/>
          <w:bCs/>
          <w:i/>
          <w:iCs/>
        </w:rPr>
        <w:t>aligned</w:t>
      </w:r>
      <w:r w:rsidR="00B1382C">
        <w:rPr>
          <w:rFonts w:ascii="Arial" w:hAnsi="Arial" w:cs="Arial"/>
          <w:b/>
          <w:bCs/>
          <w:i/>
          <w:iCs/>
        </w:rPr>
        <w:t xml:space="preserve">, without the need for amendment, the programme team should ensure that their programme specification(s) </w:t>
      </w:r>
      <w:r w:rsidR="00D41451">
        <w:rPr>
          <w:rFonts w:ascii="Arial" w:hAnsi="Arial" w:cs="Arial"/>
          <w:b/>
          <w:bCs/>
          <w:i/>
          <w:iCs/>
        </w:rPr>
        <w:t>is</w:t>
      </w:r>
      <w:r w:rsidR="00B1382C">
        <w:rPr>
          <w:rFonts w:ascii="Arial" w:hAnsi="Arial" w:cs="Arial"/>
          <w:b/>
          <w:bCs/>
          <w:i/>
          <w:iCs/>
        </w:rPr>
        <w:t xml:space="preserve"> updated to make reference to the latest version of the Subject Benchmark Statement. </w:t>
      </w:r>
      <w:r w:rsidR="00B1382C" w:rsidRPr="00D26DAD">
        <w:rPr>
          <w:rFonts w:ascii="Arial" w:hAnsi="Arial" w:cs="Arial"/>
          <w:b/>
          <w:bCs/>
          <w:i/>
          <w:iCs/>
        </w:rPr>
        <w:t xml:space="preserve">This update can be progressed as an </w:t>
      </w:r>
      <w:hyperlink r:id="rId10" w:history="1">
        <w:r w:rsidR="00B1382C" w:rsidRPr="00D26DAD">
          <w:rPr>
            <w:rStyle w:val="Hyperlink"/>
            <w:rFonts w:ascii="Arial" w:hAnsi="Arial" w:cs="Arial"/>
            <w:b/>
            <w:bCs/>
            <w:i/>
            <w:iCs/>
          </w:rPr>
          <w:t>administrative amendment</w:t>
        </w:r>
      </w:hyperlink>
      <w:r w:rsidR="00B1382C" w:rsidRPr="00D26DAD">
        <w:rPr>
          <w:rFonts w:ascii="Arial" w:hAnsi="Arial" w:cs="Arial"/>
          <w:b/>
          <w:bCs/>
          <w:i/>
          <w:iCs/>
        </w:rPr>
        <w:t xml:space="preserve"> within CourseLoop.  </w:t>
      </w:r>
    </w:p>
    <w:p w14:paraId="2C605EDE" w14:textId="370EDF92" w:rsidR="00B1382C" w:rsidRDefault="00B1382C" w:rsidP="006F78B3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141A44D2" w14:textId="758BBB98" w:rsidR="006F78B3" w:rsidRDefault="00B1382C" w:rsidP="006F78B3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In the event that changes to the programme(s) are required, </w:t>
      </w:r>
      <w:r w:rsidR="00F67D8E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s part of the submission to </w:t>
      </w:r>
      <w:r w:rsidR="00D41451">
        <w:rPr>
          <w:rFonts w:ascii="Arial" w:hAnsi="Arial" w:cs="Arial"/>
          <w:b/>
          <w:bCs/>
          <w:i/>
          <w:iCs/>
        </w:rPr>
        <w:t xml:space="preserve">PMAP, </w:t>
      </w:r>
      <w:r w:rsidR="00D41451" w:rsidRPr="00D26DAD">
        <w:rPr>
          <w:rFonts w:ascii="Arial" w:hAnsi="Arial" w:cs="Arial"/>
          <w:b/>
          <w:bCs/>
          <w:i/>
          <w:iCs/>
        </w:rPr>
        <w:t>the</w:t>
      </w:r>
      <w:r w:rsidR="006F78B3" w:rsidRPr="00D26DAD">
        <w:rPr>
          <w:rFonts w:ascii="Arial" w:hAnsi="Arial" w:cs="Arial"/>
          <w:b/>
          <w:bCs/>
          <w:i/>
          <w:iCs/>
        </w:rPr>
        <w:t xml:space="preserve"> programme team should ensure that </w:t>
      </w:r>
      <w:r>
        <w:rPr>
          <w:rFonts w:ascii="Arial" w:hAnsi="Arial" w:cs="Arial"/>
          <w:b/>
          <w:bCs/>
          <w:i/>
          <w:iCs/>
        </w:rPr>
        <w:t>an updated</w:t>
      </w:r>
      <w:r w:rsidR="006F78B3" w:rsidRPr="00D26DAD">
        <w:rPr>
          <w:rFonts w:ascii="Arial" w:hAnsi="Arial" w:cs="Arial"/>
          <w:b/>
          <w:bCs/>
          <w:i/>
          <w:iCs/>
        </w:rPr>
        <w:t xml:space="preserve"> programme specification(s) </w:t>
      </w:r>
      <w:r>
        <w:rPr>
          <w:rFonts w:ascii="Arial" w:hAnsi="Arial" w:cs="Arial"/>
          <w:b/>
          <w:bCs/>
          <w:i/>
          <w:iCs/>
        </w:rPr>
        <w:t>is included which identifies</w:t>
      </w:r>
      <w:r w:rsidR="006F78B3" w:rsidRPr="00D26DAD">
        <w:rPr>
          <w:rFonts w:ascii="Arial" w:hAnsi="Arial" w:cs="Arial"/>
          <w:b/>
          <w:bCs/>
          <w:i/>
          <w:iCs/>
        </w:rPr>
        <w:t xml:space="preserve"> the latest version of the Subject Benchmark Statement. </w:t>
      </w:r>
    </w:p>
    <w:p w14:paraId="0CA8ACAF" w14:textId="3DF56FCB" w:rsidR="00D1493E" w:rsidRDefault="00D1493E" w:rsidP="006F78B3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0BCE9DC2" w14:textId="35325BD5" w:rsidR="00D1493E" w:rsidRDefault="00D1493E" w:rsidP="006F78B3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8D2CAB">
        <w:rPr>
          <w:rFonts w:ascii="Arial" w:hAnsi="Arial" w:cs="Arial"/>
          <w:b/>
          <w:bCs/>
          <w:i/>
          <w:iCs/>
        </w:rPr>
        <w:t xml:space="preserve">In both of the above scenarios, the programme team should ensure that the Subject Benchmark Statement Alignment Verification, </w:t>
      </w:r>
      <w:r w:rsidR="00AC7C54" w:rsidRPr="008D2CAB">
        <w:rPr>
          <w:rFonts w:ascii="Arial" w:hAnsi="Arial" w:cs="Arial"/>
          <w:b/>
          <w:bCs/>
          <w:i/>
          <w:iCs/>
        </w:rPr>
        <w:t>which has been agreed</w:t>
      </w:r>
      <w:r w:rsidRPr="008D2CAB">
        <w:rPr>
          <w:rFonts w:ascii="Arial" w:hAnsi="Arial" w:cs="Arial"/>
          <w:b/>
          <w:bCs/>
          <w:i/>
          <w:iCs/>
        </w:rPr>
        <w:t xml:space="preserve"> by VROP, is attached to the amendment proposal.</w:t>
      </w:r>
      <w:r w:rsidR="00AC7C54" w:rsidRPr="008D2CAB">
        <w:rPr>
          <w:rFonts w:ascii="Arial" w:hAnsi="Arial" w:cs="Arial"/>
          <w:b/>
          <w:bCs/>
          <w:i/>
          <w:iCs/>
        </w:rPr>
        <w:t xml:space="preserve"> This will be supplied by the Panel’s Secretary</w:t>
      </w:r>
      <w:r w:rsidR="007447C5" w:rsidRPr="008D2CAB">
        <w:rPr>
          <w:rFonts w:ascii="Arial" w:hAnsi="Arial" w:cs="Arial"/>
          <w:b/>
          <w:bCs/>
          <w:i/>
          <w:iCs/>
        </w:rPr>
        <w:t>,</w:t>
      </w:r>
      <w:r w:rsidR="005C52AC" w:rsidRPr="008D2CAB">
        <w:rPr>
          <w:rFonts w:ascii="Arial" w:hAnsi="Arial" w:cs="Arial"/>
          <w:b/>
          <w:bCs/>
          <w:i/>
          <w:iCs/>
        </w:rPr>
        <w:t xml:space="preserve"> once VROP’s decision has been confirmed</w:t>
      </w:r>
      <w:r w:rsidR="007447C5" w:rsidRPr="008D2CAB">
        <w:rPr>
          <w:rFonts w:ascii="Arial" w:hAnsi="Arial" w:cs="Arial"/>
          <w:b/>
          <w:bCs/>
          <w:i/>
          <w:iCs/>
        </w:rPr>
        <w:t>.</w:t>
      </w:r>
      <w:r w:rsidR="00AC7C54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 </w:t>
      </w:r>
    </w:p>
    <w:p w14:paraId="78D13114" w14:textId="0C54D0E4" w:rsidR="006E1FD1" w:rsidRDefault="006E1FD1" w:rsidP="006F78B3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1919ECB3" w14:textId="0EE4B4BB" w:rsidR="00D26DAD" w:rsidRPr="008D2CAB" w:rsidRDefault="006E1FD1" w:rsidP="006F78B3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latest versions of the QAA’s Subject Benchmark Statements can be found at </w:t>
      </w:r>
      <w:hyperlink r:id="rId11" w:history="1">
        <w:r w:rsidRPr="00293F72">
          <w:rPr>
            <w:rStyle w:val="Hyperlink"/>
            <w:rFonts w:ascii="Arial" w:hAnsi="Arial" w:cs="Arial"/>
            <w:b/>
            <w:bCs/>
            <w:i/>
            <w:iCs/>
          </w:rPr>
          <w:t>https://www.qaa.ac.uk/the-quality-code/subject-benchmark-statements</w:t>
        </w:r>
      </w:hyperlink>
      <w:r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508"/>
      </w:tblGrid>
      <w:tr w:rsidR="006E1FD1" w14:paraId="56572FAA" w14:textId="77777777" w:rsidTr="006E1FD1">
        <w:tc>
          <w:tcPr>
            <w:tcW w:w="9016" w:type="dxa"/>
            <w:gridSpan w:val="3"/>
            <w:shd w:val="clear" w:color="auto" w:fill="D9E2F3" w:themeFill="accent1" w:themeFillTint="33"/>
          </w:tcPr>
          <w:p w14:paraId="2AB7557C" w14:textId="366951F6" w:rsidR="006E1FD1" w:rsidRPr="006E1FD1" w:rsidRDefault="006E1FD1" w:rsidP="006E1F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6E1FD1">
              <w:rPr>
                <w:rFonts w:ascii="Arial" w:hAnsi="Arial" w:cs="Arial"/>
                <w:b/>
                <w:bCs/>
              </w:rPr>
              <w:lastRenderedPageBreak/>
              <w:t>Please confirm the programme(s) that ha</w:t>
            </w:r>
            <w:r w:rsidR="00D41451">
              <w:rPr>
                <w:rFonts w:ascii="Arial" w:hAnsi="Arial" w:cs="Arial"/>
                <w:b/>
                <w:bCs/>
              </w:rPr>
              <w:t>s</w:t>
            </w:r>
            <w:r w:rsidRPr="006E1FD1">
              <w:rPr>
                <w:rFonts w:ascii="Arial" w:hAnsi="Arial" w:cs="Arial"/>
                <w:b/>
                <w:bCs/>
              </w:rPr>
              <w:t xml:space="preserve"> been assessed</w:t>
            </w:r>
          </w:p>
        </w:tc>
      </w:tr>
      <w:tr w:rsidR="006E1FD1" w14:paraId="18EC5318" w14:textId="77777777" w:rsidTr="006E1FD1">
        <w:tc>
          <w:tcPr>
            <w:tcW w:w="2254" w:type="dxa"/>
            <w:shd w:val="clear" w:color="auto" w:fill="D9E2F3" w:themeFill="accent1" w:themeFillTint="33"/>
          </w:tcPr>
          <w:p w14:paraId="698F631E" w14:textId="3C4CE176" w:rsidR="006E1FD1" w:rsidRPr="006E1FD1" w:rsidRDefault="006E1FD1" w:rsidP="006F78B3">
            <w:pPr>
              <w:jc w:val="both"/>
              <w:rPr>
                <w:rFonts w:ascii="Arial" w:hAnsi="Arial" w:cs="Arial"/>
                <w:b/>
                <w:bCs/>
              </w:rPr>
            </w:pPr>
            <w:r w:rsidRPr="006E1FD1">
              <w:rPr>
                <w:rFonts w:ascii="Arial" w:hAnsi="Arial" w:cs="Arial"/>
                <w:b/>
                <w:bCs/>
              </w:rPr>
              <w:t>Programme Code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52771B5A" w14:textId="38188119" w:rsidR="006E1FD1" w:rsidRPr="006E1FD1" w:rsidRDefault="006E1FD1" w:rsidP="006F78B3">
            <w:pPr>
              <w:jc w:val="both"/>
              <w:rPr>
                <w:rFonts w:ascii="Arial" w:hAnsi="Arial" w:cs="Arial"/>
                <w:b/>
                <w:bCs/>
              </w:rPr>
            </w:pPr>
            <w:r w:rsidRPr="006E1FD1">
              <w:rPr>
                <w:rFonts w:ascii="Arial" w:hAnsi="Arial" w:cs="Arial"/>
                <w:b/>
                <w:bCs/>
              </w:rPr>
              <w:t>Award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33568300" w14:textId="23D231F8" w:rsidR="006E1FD1" w:rsidRPr="006E1FD1" w:rsidRDefault="006E1FD1" w:rsidP="006F78B3">
            <w:pPr>
              <w:jc w:val="both"/>
              <w:rPr>
                <w:rFonts w:ascii="Arial" w:hAnsi="Arial" w:cs="Arial"/>
                <w:b/>
                <w:bCs/>
              </w:rPr>
            </w:pPr>
            <w:r w:rsidRPr="006E1FD1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6E1FD1" w14:paraId="52CAE7E1" w14:textId="77777777" w:rsidTr="00BB73E2">
        <w:tc>
          <w:tcPr>
            <w:tcW w:w="2254" w:type="dxa"/>
          </w:tcPr>
          <w:p w14:paraId="6D46B56E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1B4F1BD" w14:textId="5BD09DE8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B1DD6EC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</w:tr>
      <w:tr w:rsidR="006E1FD1" w14:paraId="02BA4A94" w14:textId="77777777" w:rsidTr="00BB73E2">
        <w:tc>
          <w:tcPr>
            <w:tcW w:w="2254" w:type="dxa"/>
          </w:tcPr>
          <w:p w14:paraId="08104F07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4B46B00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879C653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</w:tr>
      <w:tr w:rsidR="006E1FD1" w14:paraId="618FF274" w14:textId="77777777" w:rsidTr="00BB73E2">
        <w:tc>
          <w:tcPr>
            <w:tcW w:w="2254" w:type="dxa"/>
          </w:tcPr>
          <w:p w14:paraId="04E652E0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3062063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D15349A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204654" w14:textId="35B2632A" w:rsidR="006E1FD1" w:rsidRPr="006E1FD1" w:rsidRDefault="006E1FD1" w:rsidP="006F78B3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(Please add more rows if necessary)</w:t>
      </w:r>
    </w:p>
    <w:p w14:paraId="547EBA7E" w14:textId="77777777" w:rsidR="006E1FD1" w:rsidRDefault="006E1FD1" w:rsidP="006F78B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6DAD" w14:paraId="643B44FE" w14:textId="77777777" w:rsidTr="006E1FD1">
        <w:tc>
          <w:tcPr>
            <w:tcW w:w="9016" w:type="dxa"/>
            <w:gridSpan w:val="2"/>
            <w:shd w:val="clear" w:color="auto" w:fill="D9E2F3" w:themeFill="accent1" w:themeFillTint="33"/>
          </w:tcPr>
          <w:p w14:paraId="44FACA9A" w14:textId="0E1E54C8" w:rsidR="00D26DAD" w:rsidRPr="006E1FD1" w:rsidRDefault="00D26DAD" w:rsidP="006E1F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6E1FD1">
              <w:rPr>
                <w:rFonts w:ascii="Arial" w:hAnsi="Arial" w:cs="Arial"/>
                <w:b/>
                <w:bCs/>
              </w:rPr>
              <w:t>Please confirm the details of the Subject Benchmark Statement against which the above programme(s) has been assessed</w:t>
            </w:r>
          </w:p>
        </w:tc>
      </w:tr>
      <w:tr w:rsidR="00D26DAD" w14:paraId="2B61E4DC" w14:textId="77777777" w:rsidTr="006E1FD1">
        <w:tc>
          <w:tcPr>
            <w:tcW w:w="4508" w:type="dxa"/>
            <w:shd w:val="clear" w:color="auto" w:fill="D9E2F3" w:themeFill="accent1" w:themeFillTint="33"/>
          </w:tcPr>
          <w:p w14:paraId="40F4CBA2" w14:textId="0D7A1B25" w:rsidR="00D26DAD" w:rsidRPr="006E1FD1" w:rsidRDefault="00D26DAD" w:rsidP="006F78B3">
            <w:pPr>
              <w:jc w:val="both"/>
              <w:rPr>
                <w:rFonts w:ascii="Arial" w:hAnsi="Arial" w:cs="Arial"/>
                <w:b/>
                <w:bCs/>
              </w:rPr>
            </w:pPr>
            <w:r w:rsidRPr="006E1FD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0A34EC82" w14:textId="1A2D6C1B" w:rsidR="00D26DAD" w:rsidRPr="006E1FD1" w:rsidRDefault="00D26DAD" w:rsidP="006F78B3">
            <w:pPr>
              <w:jc w:val="both"/>
              <w:rPr>
                <w:rFonts w:ascii="Arial" w:hAnsi="Arial" w:cs="Arial"/>
                <w:b/>
                <w:bCs/>
              </w:rPr>
            </w:pPr>
            <w:r w:rsidRPr="006E1FD1">
              <w:rPr>
                <w:rFonts w:ascii="Arial" w:hAnsi="Arial" w:cs="Arial"/>
                <w:b/>
                <w:bCs/>
              </w:rPr>
              <w:t>Date of Publication</w:t>
            </w:r>
          </w:p>
        </w:tc>
      </w:tr>
      <w:tr w:rsidR="00D26DAD" w14:paraId="6F9F4A2B" w14:textId="77777777" w:rsidTr="00D26DAD">
        <w:tc>
          <w:tcPr>
            <w:tcW w:w="4508" w:type="dxa"/>
          </w:tcPr>
          <w:p w14:paraId="1A8E0AF2" w14:textId="77777777" w:rsidR="00D26DAD" w:rsidRDefault="00D26DAD" w:rsidP="006F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646A7C6" w14:textId="77777777" w:rsidR="00D26DAD" w:rsidRDefault="00D26DAD" w:rsidP="006F78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7163F4" w14:textId="17931AD3" w:rsidR="00D26DAD" w:rsidRDefault="00D26DAD" w:rsidP="006F78B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1FD1" w14:paraId="534B98F8" w14:textId="77777777" w:rsidTr="00EE6FE7">
        <w:tc>
          <w:tcPr>
            <w:tcW w:w="9016" w:type="dxa"/>
            <w:gridSpan w:val="2"/>
            <w:shd w:val="clear" w:color="auto" w:fill="D9E2F3" w:themeFill="accent1" w:themeFillTint="33"/>
          </w:tcPr>
          <w:p w14:paraId="26A2EC2F" w14:textId="4C3D2732" w:rsidR="006E1FD1" w:rsidRPr="00EE6FE7" w:rsidRDefault="006E1FD1" w:rsidP="006E1F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EE6FE7">
              <w:rPr>
                <w:rFonts w:ascii="Arial" w:hAnsi="Arial" w:cs="Arial"/>
                <w:b/>
                <w:bCs/>
              </w:rPr>
              <w:t>Having assessed the programme(s) identified in section 1 against the Subject Benchmark Statement identified in section 2 are you content that they are aligned, without the need to amend the programme</w:t>
            </w:r>
            <w:r w:rsidR="00D41451">
              <w:rPr>
                <w:rFonts w:ascii="Arial" w:hAnsi="Arial" w:cs="Arial"/>
                <w:b/>
                <w:bCs/>
              </w:rPr>
              <w:t>(s)</w:t>
            </w:r>
            <w:r w:rsidRPr="00EE6FE7">
              <w:rPr>
                <w:rFonts w:ascii="Arial" w:hAnsi="Arial" w:cs="Arial"/>
                <w:b/>
                <w:bCs/>
              </w:rPr>
              <w:t xml:space="preserve">? </w:t>
            </w:r>
          </w:p>
        </w:tc>
      </w:tr>
      <w:tr w:rsidR="006E1FD1" w14:paraId="6A0CBDD3" w14:textId="77777777" w:rsidTr="00EE6FE7">
        <w:tc>
          <w:tcPr>
            <w:tcW w:w="4508" w:type="dxa"/>
            <w:shd w:val="clear" w:color="auto" w:fill="D9E2F3" w:themeFill="accent1" w:themeFillTint="33"/>
          </w:tcPr>
          <w:p w14:paraId="22A3A463" w14:textId="1F8D704B" w:rsidR="006E1FD1" w:rsidRPr="00EE6FE7" w:rsidRDefault="006E1FD1" w:rsidP="006E1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EE6FE7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AE62455" w14:textId="46F4B44E" w:rsidR="006E1FD1" w:rsidRPr="00EE6FE7" w:rsidRDefault="006E1FD1" w:rsidP="006E1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EE6FE7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6E1FD1" w14:paraId="44A3753B" w14:textId="77777777" w:rsidTr="006E1FD1">
        <w:sdt>
          <w:sdtPr>
            <w:rPr>
              <w:rFonts w:ascii="Arial" w:hAnsi="Arial" w:cs="Arial"/>
            </w:rPr>
            <w:id w:val="-5448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90508AE" w14:textId="1A9E8437" w:rsidR="006E1FD1" w:rsidRDefault="006E1FD1" w:rsidP="006E1FD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555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612ADE6A" w14:textId="2D537268" w:rsidR="006E1FD1" w:rsidRDefault="006E1FD1" w:rsidP="006E1FD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E1FD1" w14:paraId="1AFF39D3" w14:textId="77777777" w:rsidTr="00EE6FE7">
        <w:tc>
          <w:tcPr>
            <w:tcW w:w="9016" w:type="dxa"/>
            <w:gridSpan w:val="2"/>
            <w:shd w:val="clear" w:color="auto" w:fill="D9E2F3" w:themeFill="accent1" w:themeFillTint="33"/>
          </w:tcPr>
          <w:p w14:paraId="3C3D6958" w14:textId="02B906F9" w:rsidR="006E1FD1" w:rsidRPr="00EE6FE7" w:rsidRDefault="006E1FD1" w:rsidP="006F78B3">
            <w:pPr>
              <w:jc w:val="both"/>
              <w:rPr>
                <w:rFonts w:ascii="Arial" w:hAnsi="Arial" w:cs="Arial"/>
                <w:b/>
                <w:bCs/>
              </w:rPr>
            </w:pPr>
            <w:r w:rsidRPr="00EE6FE7">
              <w:rPr>
                <w:rFonts w:ascii="Arial" w:hAnsi="Arial" w:cs="Arial"/>
                <w:b/>
                <w:bCs/>
              </w:rPr>
              <w:t>If “Yes”</w:t>
            </w:r>
            <w:r w:rsidR="00CD0C09">
              <w:rPr>
                <w:rFonts w:ascii="Arial" w:hAnsi="Arial" w:cs="Arial"/>
                <w:b/>
                <w:bCs/>
              </w:rPr>
              <w:t>,</w:t>
            </w:r>
            <w:r w:rsidRPr="00EE6FE7">
              <w:rPr>
                <w:rFonts w:ascii="Arial" w:hAnsi="Arial" w:cs="Arial"/>
                <w:b/>
                <w:bCs/>
              </w:rPr>
              <w:t xml:space="preserve"> please explain how you have made this judgement</w:t>
            </w:r>
            <w:r w:rsidR="004248F6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E1FD1" w14:paraId="3464B9E4" w14:textId="77777777" w:rsidTr="00B501E2">
        <w:tc>
          <w:tcPr>
            <w:tcW w:w="9016" w:type="dxa"/>
            <w:gridSpan w:val="2"/>
          </w:tcPr>
          <w:p w14:paraId="40372750" w14:textId="1A32B0E5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  <w:p w14:paraId="5F4B4A00" w14:textId="77777777" w:rsidR="00EE6FE7" w:rsidRDefault="00EE6FE7" w:rsidP="006F78B3">
            <w:pPr>
              <w:jc w:val="both"/>
              <w:rPr>
                <w:rFonts w:ascii="Arial" w:hAnsi="Arial" w:cs="Arial"/>
              </w:rPr>
            </w:pPr>
          </w:p>
          <w:p w14:paraId="79A1012A" w14:textId="77777777" w:rsidR="00EE6FE7" w:rsidRDefault="00EE6FE7" w:rsidP="006F78B3">
            <w:pPr>
              <w:jc w:val="both"/>
              <w:rPr>
                <w:rFonts w:ascii="Arial" w:hAnsi="Arial" w:cs="Arial"/>
              </w:rPr>
            </w:pPr>
          </w:p>
          <w:p w14:paraId="4E3A79F0" w14:textId="6662DC0E" w:rsidR="00EE6FE7" w:rsidRDefault="00EE6FE7" w:rsidP="006F78B3">
            <w:pPr>
              <w:jc w:val="both"/>
              <w:rPr>
                <w:rFonts w:ascii="Arial" w:hAnsi="Arial" w:cs="Arial"/>
              </w:rPr>
            </w:pPr>
          </w:p>
        </w:tc>
      </w:tr>
      <w:tr w:rsidR="006E1FD1" w14:paraId="55DF8CBE" w14:textId="77777777" w:rsidTr="00EE6FE7">
        <w:tc>
          <w:tcPr>
            <w:tcW w:w="9016" w:type="dxa"/>
            <w:gridSpan w:val="2"/>
            <w:shd w:val="clear" w:color="auto" w:fill="D9E2F3" w:themeFill="accent1" w:themeFillTint="33"/>
          </w:tcPr>
          <w:p w14:paraId="62FEAE6A" w14:textId="29CDB0BD" w:rsidR="006E1FD1" w:rsidRPr="00EE6FE7" w:rsidRDefault="006E1FD1" w:rsidP="006F78B3">
            <w:pPr>
              <w:jc w:val="both"/>
              <w:rPr>
                <w:rFonts w:ascii="Arial" w:hAnsi="Arial" w:cs="Arial"/>
                <w:b/>
                <w:bCs/>
              </w:rPr>
            </w:pPr>
            <w:r w:rsidRPr="00EE6FE7">
              <w:rPr>
                <w:rFonts w:ascii="Arial" w:hAnsi="Arial" w:cs="Arial"/>
                <w:b/>
                <w:bCs/>
              </w:rPr>
              <w:t>If “No”</w:t>
            </w:r>
            <w:r w:rsidR="00CD0C09">
              <w:rPr>
                <w:rFonts w:ascii="Arial" w:hAnsi="Arial" w:cs="Arial"/>
                <w:b/>
                <w:bCs/>
              </w:rPr>
              <w:t>,</w:t>
            </w:r>
            <w:r w:rsidRPr="00EE6FE7">
              <w:rPr>
                <w:rFonts w:ascii="Arial" w:hAnsi="Arial" w:cs="Arial"/>
                <w:b/>
                <w:bCs/>
              </w:rPr>
              <w:t xml:space="preserve"> please </w:t>
            </w:r>
            <w:r w:rsidR="00EE6FE7" w:rsidRPr="00EE6FE7">
              <w:rPr>
                <w:rFonts w:ascii="Arial" w:hAnsi="Arial" w:cs="Arial"/>
                <w:b/>
                <w:bCs/>
              </w:rPr>
              <w:t>confirm the programme and</w:t>
            </w:r>
            <w:r w:rsidR="004248F6">
              <w:rPr>
                <w:rFonts w:ascii="Arial" w:hAnsi="Arial" w:cs="Arial"/>
                <w:b/>
                <w:bCs/>
              </w:rPr>
              <w:t>/or</w:t>
            </w:r>
            <w:r w:rsidR="00EE6FE7" w:rsidRPr="00EE6FE7">
              <w:rPr>
                <w:rFonts w:ascii="Arial" w:hAnsi="Arial" w:cs="Arial"/>
                <w:b/>
                <w:bCs/>
              </w:rPr>
              <w:t xml:space="preserve"> module amendments that will be required to facilitate alignment.</w:t>
            </w:r>
            <w:r w:rsidR="00D41451">
              <w:rPr>
                <w:rFonts w:ascii="Arial" w:hAnsi="Arial" w:cs="Arial"/>
                <w:b/>
                <w:bCs/>
              </w:rPr>
              <w:t xml:space="preserve"> Where more than one programme is encompassed within this document, the description of the required amendments should clearly identify which </w:t>
            </w:r>
            <w:r w:rsidR="00CD0C09">
              <w:rPr>
                <w:rFonts w:ascii="Arial" w:hAnsi="Arial" w:cs="Arial"/>
                <w:b/>
                <w:bCs/>
              </w:rPr>
              <w:t>changes will be applied to which programme.</w:t>
            </w:r>
          </w:p>
          <w:p w14:paraId="4DD30FFE" w14:textId="77777777" w:rsidR="00EE6FE7" w:rsidRDefault="00EE6FE7" w:rsidP="006F78B3">
            <w:pPr>
              <w:jc w:val="both"/>
              <w:rPr>
                <w:rFonts w:ascii="Arial" w:hAnsi="Arial" w:cs="Arial"/>
              </w:rPr>
            </w:pPr>
          </w:p>
          <w:p w14:paraId="0B6C5402" w14:textId="14727964" w:rsidR="00EE6FE7" w:rsidRPr="00EE6FE7" w:rsidRDefault="00EE6FE7" w:rsidP="006F78B3">
            <w:pPr>
              <w:jc w:val="both"/>
              <w:rPr>
                <w:rFonts w:ascii="Arial" w:hAnsi="Arial" w:cs="Arial"/>
                <w:b/>
                <w:bCs/>
              </w:rPr>
            </w:pPr>
            <w:r w:rsidRPr="00EE6FE7">
              <w:rPr>
                <w:rFonts w:ascii="Arial" w:hAnsi="Arial" w:cs="Arial"/>
                <w:b/>
                <w:bCs/>
                <w:u w:val="single"/>
              </w:rPr>
              <w:t>Please note</w:t>
            </w:r>
            <w:r>
              <w:rPr>
                <w:rFonts w:ascii="Arial" w:hAnsi="Arial" w:cs="Arial"/>
                <w:b/>
                <w:bCs/>
              </w:rPr>
              <w:t xml:space="preserve">, all proposed amendments </w:t>
            </w:r>
            <w:r>
              <w:rPr>
                <w:rFonts w:ascii="Arial" w:hAnsi="Arial" w:cs="Arial"/>
                <w:b/>
                <w:bCs/>
                <w:u w:val="single"/>
              </w:rPr>
              <w:t>must</w:t>
            </w:r>
            <w:r>
              <w:rPr>
                <w:rFonts w:ascii="Arial" w:hAnsi="Arial" w:cs="Arial"/>
                <w:b/>
                <w:bCs/>
              </w:rPr>
              <w:t xml:space="preserve"> be approved via the university’s programme/module amendment process set out within the </w:t>
            </w:r>
            <w:hyperlink r:id="rId12" w:history="1">
              <w:r w:rsidRPr="00EE6FE7">
                <w:rPr>
                  <w:rStyle w:val="Hyperlink"/>
                  <w:rFonts w:ascii="Arial" w:hAnsi="Arial" w:cs="Arial"/>
                  <w:b/>
                  <w:bCs/>
                </w:rPr>
                <w:t>Guidance for Programme and Module Amendments</w:t>
              </w:r>
            </w:hyperlink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4248F6">
              <w:rPr>
                <w:rFonts w:ascii="Arial" w:hAnsi="Arial" w:cs="Arial"/>
                <w:b/>
                <w:bCs/>
              </w:rPr>
              <w:t xml:space="preserve">Consideration of this document will </w:t>
            </w:r>
            <w:r w:rsidR="004248F6" w:rsidRPr="00CD0C09">
              <w:rPr>
                <w:rFonts w:ascii="Arial" w:hAnsi="Arial" w:cs="Arial"/>
                <w:b/>
                <w:bCs/>
                <w:u w:val="single"/>
              </w:rPr>
              <w:t>not</w:t>
            </w:r>
            <w:r w:rsidR="004248F6">
              <w:rPr>
                <w:rFonts w:ascii="Arial" w:hAnsi="Arial" w:cs="Arial"/>
                <w:b/>
                <w:bCs/>
              </w:rPr>
              <w:t xml:space="preserve"> constitute consideration or approval of the proposed amendments. </w:t>
            </w:r>
          </w:p>
        </w:tc>
      </w:tr>
      <w:tr w:rsidR="006E1FD1" w14:paraId="01AB27CF" w14:textId="77777777" w:rsidTr="00B501E2">
        <w:tc>
          <w:tcPr>
            <w:tcW w:w="9016" w:type="dxa"/>
            <w:gridSpan w:val="2"/>
          </w:tcPr>
          <w:p w14:paraId="693E9610" w14:textId="77777777" w:rsidR="006E1FD1" w:rsidRDefault="006E1FD1" w:rsidP="006F78B3">
            <w:pPr>
              <w:jc w:val="both"/>
              <w:rPr>
                <w:rFonts w:ascii="Arial" w:hAnsi="Arial" w:cs="Arial"/>
              </w:rPr>
            </w:pPr>
          </w:p>
          <w:p w14:paraId="75E28AB4" w14:textId="77777777" w:rsidR="00EE6FE7" w:rsidRDefault="00EE6FE7" w:rsidP="006F78B3">
            <w:pPr>
              <w:jc w:val="both"/>
              <w:rPr>
                <w:rFonts w:ascii="Arial" w:hAnsi="Arial" w:cs="Arial"/>
              </w:rPr>
            </w:pPr>
          </w:p>
          <w:p w14:paraId="2D763B59" w14:textId="77777777" w:rsidR="00EE6FE7" w:rsidRDefault="00EE6FE7" w:rsidP="006F78B3">
            <w:pPr>
              <w:jc w:val="both"/>
              <w:rPr>
                <w:rFonts w:ascii="Arial" w:hAnsi="Arial" w:cs="Arial"/>
              </w:rPr>
            </w:pPr>
          </w:p>
          <w:p w14:paraId="0914E53E" w14:textId="0EF022DD" w:rsidR="00EE6FE7" w:rsidRDefault="00EE6FE7" w:rsidP="006F78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78DEF5" w14:textId="77777777" w:rsidR="006E1FD1" w:rsidRDefault="006E1FD1" w:rsidP="006F78B3">
      <w:pPr>
        <w:spacing w:after="0" w:line="240" w:lineRule="auto"/>
        <w:jc w:val="both"/>
        <w:rPr>
          <w:rFonts w:ascii="Arial" w:hAnsi="Arial" w:cs="Arial"/>
        </w:rPr>
      </w:pPr>
    </w:p>
    <w:p w14:paraId="4B967ECB" w14:textId="77777777" w:rsidR="00590370" w:rsidRPr="00D26DAD" w:rsidRDefault="00590370" w:rsidP="006F78B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687593" w:rsidRPr="00687593" w14:paraId="26B1814D" w14:textId="77777777" w:rsidTr="00957A4E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506E" w14:textId="4257F138" w:rsidR="00687593" w:rsidRPr="00687593" w:rsidRDefault="00B26180" w:rsidP="00C94E6F">
            <w:pPr>
              <w:autoSpaceDE w:val="0"/>
              <w:autoSpaceDN w:val="0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Alignment Verification </w:t>
            </w:r>
            <w:r w:rsidR="00F91812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completed by:</w:t>
            </w:r>
            <w:r w:rsidR="00687593" w:rsidRPr="00687593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87593" w:rsidRPr="00687593" w14:paraId="4A172ECD" w14:textId="77777777" w:rsidTr="00957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2BD6" w14:textId="77777777" w:rsidR="00687593" w:rsidRPr="00687593" w:rsidRDefault="00687593" w:rsidP="00687593">
            <w:pPr>
              <w:autoSpaceDE w:val="0"/>
              <w:autoSpaceDN w:val="0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68759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6172" w14:textId="77777777" w:rsidR="00687593" w:rsidRPr="00687593" w:rsidRDefault="00687593" w:rsidP="00687593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1812" w:rsidRPr="00687593" w14:paraId="7D2A8282" w14:textId="77777777" w:rsidTr="00957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DB92" w14:textId="0E165521" w:rsidR="00F91812" w:rsidRPr="00687593" w:rsidRDefault="00F91812" w:rsidP="00687593">
            <w:pPr>
              <w:autoSpaceDE w:val="0"/>
              <w:autoSpaceDN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  <w:t>Role: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50C5" w14:textId="77777777" w:rsidR="00F91812" w:rsidRPr="00687593" w:rsidRDefault="00F91812" w:rsidP="00687593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687593" w:rsidRPr="00687593" w14:paraId="37CC8C87" w14:textId="77777777" w:rsidTr="00957A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1F4E" w14:textId="77777777" w:rsidR="00687593" w:rsidRPr="00687593" w:rsidRDefault="00687593" w:rsidP="00687593">
            <w:pPr>
              <w:autoSpaceDE w:val="0"/>
              <w:autoSpaceDN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8759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A60F" w14:textId="77777777" w:rsidR="00687593" w:rsidRPr="00687593" w:rsidRDefault="00687593" w:rsidP="00687593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6E1A8C" w14:textId="77777777" w:rsidR="00322763" w:rsidRDefault="00322763" w:rsidP="00EE6FE7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5C3FF3F" w14:textId="091F6D11" w:rsidR="002B6934" w:rsidRDefault="00EE6FE7" w:rsidP="00EE6FE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To be completed by the Secretary of VROP</w:t>
      </w:r>
    </w:p>
    <w:p w14:paraId="6D2A8DE4" w14:textId="149255DF" w:rsidR="00EE6FE7" w:rsidRDefault="00EE6FE7" w:rsidP="00EE6FE7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6FE7" w14:paraId="38F0D0F8" w14:textId="77777777" w:rsidTr="00EE6FE7">
        <w:tc>
          <w:tcPr>
            <w:tcW w:w="9016" w:type="dxa"/>
            <w:shd w:val="clear" w:color="auto" w:fill="D9E2F3" w:themeFill="accent1" w:themeFillTint="33"/>
          </w:tcPr>
          <w:p w14:paraId="5AFD0D37" w14:textId="35BC5873" w:rsidR="00EE6FE7" w:rsidRPr="00EE6FE7" w:rsidRDefault="00EE6FE7" w:rsidP="00EE6F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Alignment Verification </w:t>
            </w:r>
            <w:r w:rsidR="006A3E52" w:rsidRPr="008D2CAB">
              <w:rPr>
                <w:rFonts w:ascii="Arial" w:hAnsi="Arial" w:cs="Arial"/>
                <w:b/>
                <w:bCs/>
              </w:rPr>
              <w:t>agreed</w:t>
            </w:r>
            <w:r>
              <w:rPr>
                <w:rFonts w:ascii="Arial" w:hAnsi="Arial" w:cs="Arial"/>
                <w:b/>
                <w:bCs/>
              </w:rPr>
              <w:t xml:space="preserve"> by VROP</w:t>
            </w:r>
          </w:p>
        </w:tc>
      </w:tr>
      <w:tr w:rsidR="00EE6FE7" w14:paraId="11B4001C" w14:textId="77777777" w:rsidTr="00EE6FE7">
        <w:tc>
          <w:tcPr>
            <w:tcW w:w="9016" w:type="dxa"/>
          </w:tcPr>
          <w:p w14:paraId="184E5F8A" w14:textId="77777777" w:rsidR="00EE6FE7" w:rsidRDefault="00EE6FE7" w:rsidP="00EE6FE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5D78D6" w14:textId="3CF18049" w:rsidR="002B6934" w:rsidRDefault="002B6934" w:rsidP="002B6934">
      <w:pPr>
        <w:spacing w:after="0" w:line="240" w:lineRule="auto"/>
        <w:rPr>
          <w:rFonts w:ascii="Arial" w:hAnsi="Arial" w:cs="Arial"/>
        </w:rPr>
      </w:pPr>
    </w:p>
    <w:p w14:paraId="17D3427E" w14:textId="1EAAAAAD" w:rsidR="002B6934" w:rsidRDefault="002B6934" w:rsidP="002B6934">
      <w:pPr>
        <w:spacing w:after="0" w:line="240" w:lineRule="auto"/>
        <w:rPr>
          <w:rFonts w:ascii="Arial" w:hAnsi="Arial" w:cs="Arial"/>
        </w:rPr>
      </w:pPr>
    </w:p>
    <w:p w14:paraId="14626C97" w14:textId="1EECAA1C" w:rsidR="002B6934" w:rsidRDefault="002B6934" w:rsidP="002B6934">
      <w:pPr>
        <w:spacing w:after="0" w:line="240" w:lineRule="auto"/>
        <w:rPr>
          <w:rFonts w:ascii="Arial" w:hAnsi="Arial" w:cs="Arial"/>
        </w:rPr>
      </w:pPr>
    </w:p>
    <w:p w14:paraId="7846B20F" w14:textId="77777777" w:rsidR="002B6934" w:rsidRPr="002B6934" w:rsidRDefault="002B6934" w:rsidP="002B6934">
      <w:pPr>
        <w:spacing w:after="0" w:line="240" w:lineRule="auto"/>
        <w:rPr>
          <w:rFonts w:ascii="Arial" w:hAnsi="Arial" w:cs="Arial"/>
        </w:rPr>
      </w:pPr>
    </w:p>
    <w:sectPr w:rsidR="002B6934" w:rsidRPr="002B6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523"/>
    <w:multiLevelType w:val="hybridMultilevel"/>
    <w:tmpl w:val="D43ED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466E1"/>
    <w:multiLevelType w:val="hybridMultilevel"/>
    <w:tmpl w:val="414ED7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319139">
    <w:abstractNumId w:val="0"/>
  </w:num>
  <w:num w:numId="2" w16cid:durableId="118197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3"/>
    <w:rsid w:val="00020387"/>
    <w:rsid w:val="000774D9"/>
    <w:rsid w:val="00170A4E"/>
    <w:rsid w:val="00242E13"/>
    <w:rsid w:val="002B6934"/>
    <w:rsid w:val="002C7EF8"/>
    <w:rsid w:val="00322763"/>
    <w:rsid w:val="004248F6"/>
    <w:rsid w:val="004547EA"/>
    <w:rsid w:val="00590370"/>
    <w:rsid w:val="005C52AC"/>
    <w:rsid w:val="00687593"/>
    <w:rsid w:val="006A3E52"/>
    <w:rsid w:val="006E1FD1"/>
    <w:rsid w:val="006F78B3"/>
    <w:rsid w:val="007447C5"/>
    <w:rsid w:val="0084223D"/>
    <w:rsid w:val="008D2CAB"/>
    <w:rsid w:val="00900510"/>
    <w:rsid w:val="0090184A"/>
    <w:rsid w:val="00907C29"/>
    <w:rsid w:val="00926C53"/>
    <w:rsid w:val="009344B8"/>
    <w:rsid w:val="009C6614"/>
    <w:rsid w:val="00AC7C54"/>
    <w:rsid w:val="00AE2EC8"/>
    <w:rsid w:val="00B1382C"/>
    <w:rsid w:val="00B26180"/>
    <w:rsid w:val="00B90DB7"/>
    <w:rsid w:val="00C6557A"/>
    <w:rsid w:val="00C94E6F"/>
    <w:rsid w:val="00CD0C09"/>
    <w:rsid w:val="00D1493E"/>
    <w:rsid w:val="00D26DAD"/>
    <w:rsid w:val="00D41451"/>
    <w:rsid w:val="00EE6FE7"/>
    <w:rsid w:val="00F67D8E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3D08"/>
  <w15:chartTrackingRefBased/>
  <w15:docId w15:val="{58ACB8CC-B098-455C-8FA3-BCAEC391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8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-/media/files/ljmu/public-information-documents/academic-quality-and-regulations/academic-quality/guidance-for-programme-and-module-amendment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aa.ac.uk/the-quality-code/subject-benchmark-statement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jmu.ac.uk/-/media/staff-intranet/academic-registry/files/how-to/making-a-change-to-a-programme-or-module-in-courseloop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jmu.ac.uk/-/media/files/ljmu/public-information-documents/academic-quality-and-regulations/academic-quality/guidance-for-programme-and-module-amendment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12836CB72ED49AAFBE4ED630984C2" ma:contentTypeVersion="12" ma:contentTypeDescription="Create a new document." ma:contentTypeScope="" ma:versionID="bada2ae61e17c6b38a15b75037618dde">
  <xsd:schema xmlns:xsd="http://www.w3.org/2001/XMLSchema" xmlns:xs="http://www.w3.org/2001/XMLSchema" xmlns:p="http://schemas.microsoft.com/office/2006/metadata/properties" xmlns:ns2="b6f930e6-7065-4284-9c90-f41fabe74e0e" targetNamespace="http://schemas.microsoft.com/office/2006/metadata/properties" ma:root="true" ma:fieldsID="b64ca67d3702bc39ea6f3d15d2e46367" ns2:_="">
    <xsd:import namespace="b6f930e6-7065-4284-9c90-f41fabe74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930e6-7065-4284-9c90-f41fabe74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5D49C-C614-41BD-9661-0F1BB6B24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00B04-04CC-4930-B1DD-82C28A2D0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F88A7-9259-4716-9C48-63FC6235E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930e6-7065-4284-9c90-f41fabe74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Links>
    <vt:vector size="24" baseType="variant">
      <vt:variant>
        <vt:i4>5570581</vt:i4>
      </vt:variant>
      <vt:variant>
        <vt:i4>9</vt:i4>
      </vt:variant>
      <vt:variant>
        <vt:i4>0</vt:i4>
      </vt:variant>
      <vt:variant>
        <vt:i4>5</vt:i4>
      </vt:variant>
      <vt:variant>
        <vt:lpwstr>https://www.ljmu.ac.uk/-/media/files/ljmu/public-information-documents/academic-quality-and-regulations/academic-quality/guidance-for-programme-and-module-amendments.pdf</vt:lpwstr>
      </vt:variant>
      <vt:variant>
        <vt:lpwstr/>
      </vt:variant>
      <vt:variant>
        <vt:i4>3735595</vt:i4>
      </vt:variant>
      <vt:variant>
        <vt:i4>6</vt:i4>
      </vt:variant>
      <vt:variant>
        <vt:i4>0</vt:i4>
      </vt:variant>
      <vt:variant>
        <vt:i4>5</vt:i4>
      </vt:variant>
      <vt:variant>
        <vt:lpwstr>https://www.qaa.ac.uk/the-quality-code/subject-benchmark-statements</vt:lpwstr>
      </vt:variant>
      <vt:variant>
        <vt:lpwstr/>
      </vt:variant>
      <vt:variant>
        <vt:i4>8060989</vt:i4>
      </vt:variant>
      <vt:variant>
        <vt:i4>3</vt:i4>
      </vt:variant>
      <vt:variant>
        <vt:i4>0</vt:i4>
      </vt:variant>
      <vt:variant>
        <vt:i4>5</vt:i4>
      </vt:variant>
      <vt:variant>
        <vt:lpwstr>https://www.ljmu.ac.uk/-/media/staff-intranet/academic-registry/files/how-to/making-a-change-to-a-programme-or-module-in-courseloop.pdf</vt:lpwstr>
      </vt:variant>
      <vt:variant>
        <vt:lpwstr/>
      </vt:variant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https://www.ljmu.ac.uk/-/media/files/ljmu/public-information-documents/academic-quality-and-regulations/academic-quality/guidance-for-programme-and-module-amendments.pdf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Summers, Helen</cp:lastModifiedBy>
  <cp:revision>35</cp:revision>
  <dcterms:created xsi:type="dcterms:W3CDTF">2023-11-02T15:49:00Z</dcterms:created>
  <dcterms:modified xsi:type="dcterms:W3CDTF">2024-12-04T10:02:00Z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0x010100DEF12836CB72ED49AAFBE4ED630984C2</vt:lpwstr>
  </property>
</Properties>
</file>